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DCC SERVICES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ENTRY PROCESS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Many of </w:t>
      </w:r>
      <w:r>
        <w:rPr>
          <w:color w:val="0D0D0D"/>
          <w:u w:color="0D0D0D"/>
        </w:rPr>
        <w:t xml:space="preserve">the Services </w:t>
      </w:r>
      <w:r>
        <w:t xml:space="preserve">described in this Section H are described as being available only to Users. A Party is not entitled to receive those Services until that Party has become a User by completing the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are eligible to complete the User Entry Process and to become Users.</w:t>
      </w:r>
    </w:p>
    <w:p>
      <w:pPr>
        <w:pStyle w:val="Heading3"/>
        <w:spacing/>
        <w:ind w:left="600"/>
        <w:contextualSpacing w:val="false"/>
        <w:rPr>
          <w:rFonts w:ascii="Expert Sans" w:hAnsi="Expert Sans" w:cs="Expert Sans"/>
          <w:b/>
          <w:color w:val="000000"/>
          <w:sz w:val="21"/>
          <w:u w:color="000000"/>
        </w:rPr>
      </w:pPr>
      <w:r>
        <w:t xml:space="preserve">User Role Eligibility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Services provided over the DCC User Interface are available only to Users within certain User Roles. A Party wishing to act as a User in one or more User Roles must first complete the User Entry Process for that User Role.</w:t>
      </w:r>
    </w:p>
    <w:p>
      <w:pPr>
        <w:pStyle w:val="Heading3"/>
        <w:spacing/>
        <w:ind w:left="600"/>
        <w:contextualSpacing w:val="false"/>
        <w:rPr>
          <w:rFonts w:ascii="Expert Sans" w:hAnsi="Expert Sans" w:cs="Expert Sans"/>
          <w:b/>
          <w:color w:val="000000"/>
          <w:sz w:val="21"/>
          <w:u w:color="000000"/>
        </w:rPr>
      </w:pPr>
      <w:r>
        <w:t xml:space="preserve">User IDs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accessing Services a User must operate in a particular User Role using the applicable User ID.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wishing to act as a User in one or more User Roles shall propose to the DCC one or more identification numbers, issued to it by the Panel, to be used by that Party when acting in each such User Role. Each such identification number must be EUI-64 Compliant, and the same identification number cannot be used for more than one User Role, save that a Party may use the same identification number when acting in any combination of some or all of the following User Roles 'Import Supplier', 'Export Supplier' and 'Gas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accept each identification number proposed by each Party in respect of each of its User Roles (and record such numbers as identifying, and use such numbers to identify, such Party in such User Role); provided that the DCC shall only accept the proposed number if it has been issued by the Panel, and if (at the time of the Party's proposal) the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‘Import Supplier’ or ‘Export Supplier’, an Electricity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Supplier’, a Gas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‘Electricity Distributor’, an Electricity Distribution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Transporter’, a Gas Transportation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for the User Role of 'Registered Supplier Agent', identified in the Registration Data as a Meter Operator or a Meter Asset Manager for at least one MPAN or MPRN;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 for the User Role of 'Meter Data Retriever', qualified as part of the Smart Data Service under the BSC.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may from time to time replace or withdraw its User ID for each of its User Roles on notice to the DCC; provided that any such replacement shall be subject to acceptance by the DCC in accordance with Section H1.6.</w:t>
      </w:r>
    </w:p>
    <w:p>
      <w:pPr>
        <w:pStyle w:val="Heading3"/>
        <w:spacing/>
        <w:ind w:left="600"/>
        <w:contextualSpacing w:val="false"/>
        <w:rPr>
          <w:rFonts w:ascii="Expert Sans" w:hAnsi="Expert Sans" w:cs="Expert Sans"/>
          <w:b/>
          <w:color w:val="000000"/>
          <w:sz w:val="21"/>
          <w:u w:color="000000"/>
        </w:rPr>
      </w:pPr>
      <w:r>
        <w:t xml:space="preserve">User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establish and publish on the Website a guide to the User Entry Process. Such guide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persons that a Party is required to contact to commence the steps required pursuant to the User Entry Process for each User Role;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 a recommendation that each Party undertakes a privacy impact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accordance with the Information Commissioner’s guidance concerning the same;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Party is completing the User Entry Process for the User Role of Other User, having regard to any guidance issued by the Secretary of State and/or the Authority in respect of matters relating to the Processing of Personal Data that are comprised in any Data of a type referred to in Sections I1.2 to I1.4,</w:t>
      </w:r>
    </w:p>
    <w:p>
      <w:pPr>
        <w:pStyle w:val="Normal"/>
        <w:spacing/>
        <w:ind w:left="900"/>
        <w:contextualSpacing w:val="false"/>
        <w:rPr>
          <w:rFonts w:ascii="Expert Sans" w:hAnsi="Expert Sans" w:cs="Expert Sans"/>
          <w:color w:val="000000"/>
          <w:sz w:val="19"/>
          <w:u w:color="000000"/>
        </w:rPr>
      </w:pPr>
      <w:r>
        <w:t xml:space="preserve">but there shall be no obligation under this Code to do so.</w:t>
      </w:r>
    </w:p>
    <w:p>
      <w:pPr>
        <w:pStyle w:val="Heading3"/>
        <w:spacing/>
        <w:ind w:left="600"/>
        <w:contextualSpacing w:val="false"/>
        <w:rPr>
          <w:rFonts w:ascii="Expert Sans" w:hAnsi="Expert Sans" w:cs="Expert Sans"/>
          <w:b/>
          <w:color w:val="000000"/>
          <w:sz w:val="21"/>
          <w:u w:color="000000"/>
        </w:rPr>
      </w:pPr>
      <w:r>
        <w:t xml:space="preserve">User Entry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wishing to become a User in a particular User Role commences the User Entry Process, it must notify the Code Administrator that it has done so (and in respect of which User Role).</w:t>
      </w:r>
    </w:p>
    <w:p>
      <w:pPr>
        <w:pStyle w:val="Heading3"/>
        <w:spacing/>
        <w:ind w:left="600"/>
        <w:contextualSpacing w:val="false"/>
        <w:rPr>
          <w:rFonts w:ascii="Expert Sans" w:hAnsi="Expert Sans" w:cs="Expert Sans"/>
          <w:b/>
          <w:color w:val="000000"/>
          <w:sz w:val="21"/>
          <w:u w:color="000000"/>
        </w:rPr>
      </w:pPr>
      <w:r>
        <w:t xml:space="preserve">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Entry Process for each User Role requires that the Party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confirmation from the DCC of its acceptance of at least one User ID for the Party and that User Role in accordance with Section H1.6;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completed the User Entry Process Tests for that User Role in accordance with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demonstrated in accordance with the procedure set out in Section G8 (User Security Assurance) that the Party meets the applicable security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only of the User Roles of Meter Data Retriever and Other User) successfully demonstrated in accordance with the procedure set out in Section I2 (Meter Data Retriever and Other User Privacy Audits) that the Party meets the applicable privacy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provided the Credit Support or additional Credit Support (if any) that the DCC requires that Party to provide, to be calculated by the DCC in accordance with Section J3 (Credit Cover) as if that Party were a User for that User Role (which calculation will include the DCC’s reasonable estimates of the Charges that are likely to be incurred by that Party in that User Role in the period until the first Invoice for that Party is due to be paid by that Party in that User Role);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Party has set Transactions Per Second (TPS) limit in accordance with the Party’s User System capacity:</w:t>
      </w:r>
    </w:p>
    <w:p>
      <w:pPr>
        <w:pStyle w:val="Normal"/>
        <w:numPr>
          <w:ilvl w:val="4"/>
          <w:numId w:val="4"/>
        </w:numPr>
        <w:spacing w:after="0" w:afterLines="0"/>
        <w:ind w:left="1900" w:hanging="700"/>
        <w:contextualSpacing w:val="false"/>
        <w:jc w:val="left"/>
        <w:rPr>
          <w:rFonts w:ascii="Expert Sans" w:hAnsi="Expert Sans" w:cs="Expert Sans"/>
          <w:color w:val="000000"/>
          <w:sz w:val="19"/>
          <w:u w:color="000000"/>
        </w:rPr>
      </w:pPr>
      <w:r>
        <w:t xml:space="preserve">Parties, in respect of H1.10(f) shall review the TPS limit with the DCC </w:t>
      </w:r>
    </w:p>
    <w:p>
      <w:pPr>
        <w:pStyle w:val="Normal"/>
        <w:spacing w:before="0" w:beforeLines="0" w:after="0" w:afterLines="0"/>
        <w:ind w:left="1900"/>
        <w:contextualSpacing w:val="false"/>
        <w:rPr>
          <w:rFonts w:ascii="Expert Sans" w:hAnsi="Expert Sans" w:cs="Expert Sans"/>
          <w:color w:val="000000"/>
          <w:sz w:val="19"/>
          <w:u w:color="000000"/>
        </w:rPr>
      </w:pPr>
      <w:r>
        <w:t xml:space="preserve">periodically, making amendments as reasonably accommodated by the Party</w:t>
      </w:r>
    </w:p>
    <w:p>
      <w:pPr>
        <w:pStyle w:val="Normal"/>
        <w:spacing w:before="0" w:beforeLines="0"/>
        <w:ind w:left="1900"/>
        <w:contextualSpacing w:val="false"/>
        <w:rPr>
          <w:rFonts w:ascii="Expert Sans" w:hAnsi="Expert Sans" w:cs="Expert Sans"/>
          <w:color w:val="000000"/>
          <w:sz w:val="19"/>
          <w:u w:color="000000"/>
        </w:rPr>
      </w:pPr>
      <w:r>
        <w:t xml:space="preserve">User System;</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Parties, fulfilling necessary User Entry Process Requirements with the exception of H1.10(f) shall take all reasonable steps to comply with H1.10(f) as soon as reasonably practicable.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will have successfully completed the User Entry Process for a particular User Role once the Code Administrator has received confirmation from the body responsible for each of the requirements set out in Section H1.10 that the Party has met each and every requirement set out in Section H1.10, and once the Code Administrator has confirmed the same to the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has successfully completed the User Entry Process for a particular User Role, the Code Administrator shall confirm the same to the DCC and the Panel. A Party who has successfully completed the User Entry Processes in one User Role shall not be considered to be a User in relation to any other User Role until it has completed the User Entry Processes in relation to such other User Role.</w:t>
      </w:r>
    </w:p>
    <w:p>
      <w:pPr>
        <w:pStyle w:val="Heading3"/>
        <w:spacing/>
        <w:ind w:left="600"/>
        <w:contextualSpacing w:val="false"/>
        <w:rPr>
          <w:rFonts w:ascii="Expert Sans" w:hAnsi="Expert Sans" w:cs="Expert Sans"/>
          <w:b/>
          <w:color w:val="000000"/>
          <w:sz w:val="21"/>
          <w:u w:color="000000"/>
        </w:rPr>
      </w:pPr>
      <w:r>
        <w:t xml:space="preserve">Disputes Regarding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raise a dispute in relation to its application to become a User, and to the extent that the dispute relates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H1.10(b), then the dispute shall be determined in accordance with the applicable dispute resolution procedure set out in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H1.10(c), then the dispute shall be determined in accordance with the dispute resolution procedure set out in Section G8 (User Security Assurance);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H1.10(d), then the dispute shall be determined in accordance with the dispute resolution procedure set out in Section I2 (Other User Privacy Audits);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H1.10(e), then the dispute shall be determined in accordance with Section J3.15 (Disputes);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matters other than those referred to above, then the dispute may be referred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H1.13(e), then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Ceasing to be a User in a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wishes to cease acting as a User in a User Role, the User shall notify the Code Administrator in writing of the date from which the User wishes to cease acting as a User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notifies the Code Administrator in accordance with Section H1.15, the User shall cease to be a User in the specified User Role with effect from the date specified in such notification.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Code Administrator shall, as soon as reasonably practicable after receipt of a notification from a User in accordance with Section H1.15, notify the Panel and the DCC of the date from which that User will cease to be a User in the specified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notification received from the Code Administrator under Section H1.17 in respect of a User and a User Role, the DCC shall cease to treat that User as a User in that User Role; provided that the DCC shall be allowed up to 24 hours from receipt of such notification to update the DCC Systems.</w:t>
      </w:r>
    </w:p>
    <w:p>
      <w:pPr>
        <w:pStyle w:val="Heading2"/>
        <w:numPr>
          <w:ilvl w:val="1"/>
          <w:numId w:val="4"/>
        </w:numPr>
        <w:spacing w:after="0" w:afterLines="0"/>
        <w:ind w:left="1000" w:hanging="700"/>
        <w:contextualSpacing w:val="false"/>
        <w:rPr>
          <w:rFonts w:ascii="Expert Sans" w:hAnsi="Expert Sans" w:cs="Expert Sans"/>
          <w:b/>
          <w:color w:val="000000"/>
          <w:sz w:val="21"/>
          <w:u w:val="single" w:color="000000"/>
        </w:rPr>
      </w:pPr>
      <w:r>
        <w:t xml:space="preserve">REGISTERED SUPPLIER AGENTS</w:t>
      </w:r>
    </w:p>
    <w:p>
      <w:pPr>
        <w:pStyle w:val="Heading2"/>
        <w:spacing w:before="0" w:beforeLines="0"/>
        <w:ind w:left="1000"/>
        <w:contextualSpacing w:val="false"/>
        <w:rPr>
          <w:rFonts w:ascii="Expert Sans" w:hAnsi="Expert Sans" w:cs="Expert Sans"/>
          <w:b/>
          <w:color w:val="000000"/>
          <w:sz w:val="21"/>
          <w:u w:val="single" w:color="000000"/>
        </w:rPr>
      </w:pPr>
      <w:r>
        <w:t xml:space="preserve"/>
      </w:r>
    </w:p>
    <w:p>
      <w:pPr>
        <w:pStyle w:val="Heading3"/>
        <w:spacing/>
        <w:ind w:left="600"/>
        <w:contextualSpacing w:val="false"/>
        <w:rPr>
          <w:rFonts w:ascii="Expert Sans" w:hAnsi="Expert Sans" w:cs="Expert Sans"/>
          <w:b/>
          <w:color w:val="000000"/>
          <w:sz w:val="21"/>
          <w:u w:color="000000"/>
        </w:rPr>
      </w:pPr>
      <w:r>
        <w:t xml:space="preserve">Rights and Obligations of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Registered Supplier Agents are Parties to this Code in their own right, and as such have rights and obligations as Other SEC Parties or as Users acting in the User Role of Registered Supplier Agent.</w:t>
      </w:r>
    </w:p>
    <w:p>
      <w:pPr>
        <w:pStyle w:val="Heading3"/>
        <w:spacing/>
        <w:ind w:left="600"/>
        <w:contextualSpacing w:val="false"/>
        <w:rPr>
          <w:rFonts w:ascii="Expert Sans" w:hAnsi="Expert Sans" w:cs="Expert Sans"/>
          <w:b/>
          <w:color w:val="000000"/>
          <w:sz w:val="21"/>
          <w:u w:color="000000"/>
        </w:rPr>
      </w:pPr>
      <w:r>
        <w:t xml:space="preserve">Responsibility for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following Services (as described in the DCC User Interface Services Schedule) are only available to Users acting in the User Role of Registered Supplier Agent by virtue of their appointment by the Responsible Supplier as a Meter Operator or Meter Asset Manager in respect of the relevant MPAN or MPRN: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Device Configuration;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Event or Security Log;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Supply Status;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Firmware Version.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rights and obligations of each Registered Supplier Agent (as described in Section H2.1), the Supplier Party described in Section H2.4 shall ensure that each Registered Supplier Agent that sends Service Requests for the Services described in Section H2.2 shall only do so for the purposes of providing services to that Supplier Party in a manner consistent with that Supplier Party’s Energy Supply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Supplier Party referred to in Section H2.3 is, in respect of a Service relating to a Smart Metering System or Device, the Responsible Supplier for that Smart Metering System or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Code obliges Supplier Parties to contract with Meter Operators and/or Meter Asset Managers in order to procure from the Meter Operator and/or Meter Asset Manager services that result in the need for the Meter Operator and/or Meter Asset Manager to send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Supplier Party shall be responsible for controlling the ability of the Registered Supplier Agent to send the Service Requests referred to in Section H2.2 in circumstances where that Supplier Party would be liable under Section H2.3.</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METER DATA RETRIEVERS</w:t>
      </w:r>
    </w:p>
    <w:p>
      <w:pPr>
        <w:pStyle w:val="Heading3"/>
        <w:spacing/>
        <w:ind w:left="600"/>
        <w:contextualSpacing w:val="false"/>
        <w:rPr>
          <w:rFonts w:ascii="Expert Sans" w:hAnsi="Expert Sans" w:cs="Expert Sans"/>
          <w:b/>
          <w:color w:val="000000"/>
          <w:sz w:val="21"/>
          <w:u w:color="000000"/>
        </w:rPr>
      </w:pPr>
      <w:r>
        <w:t xml:space="preserve">Rights and Obligations of Meter Data Retrievers</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Meter Data Retrievers are Parties to this Code in their own right, and as such have rights and obligations as Other SEC Parties or as Users acting in the User Role of Meter Data Retriever.</w:t>
      </w:r>
    </w:p>
    <w:p>
      <w:pPr>
        <w:pStyle w:val="Heading3"/>
        <w:spacing/>
        <w:ind w:left="600"/>
        <w:contextualSpacing w:val="false"/>
        <w:rPr>
          <w:rFonts w:ascii="Expert Sans" w:hAnsi="Expert Sans" w:cs="Expert Sans"/>
          <w:b/>
          <w:color w:val="000000"/>
          <w:sz w:val="21"/>
          <w:u w:color="000000"/>
        </w:rPr>
      </w:pPr>
      <w:r>
        <w:t xml:space="preserve">Responsibility for Meter Data Retrievers</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It is acknowledged that the following Services (as described in the DCC User Interface Services Schedule) are only available to Users acting in the User Role of Meter Data Retriever by virtue of their appointment by the Smart Data Service as a Meter Data Retrieval Service in respect of the relevant MPAN:</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Read Instantaneous Registers;</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Retrieve Daily Read Logs;</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Read Profile Data; and</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Retrieve Daily Consumption Log</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Without prejudice to the rights and obligations of each Meter Data Retriever (as described in Section H2A.1), the Supplier Party described in Section H2A.4 shall ensure that each Meter Data Retriever that sends Service Requests for the Services described in Section H2A.2 shall only do so for the purposes of providing services to that Supplier Party in a manner consistent with that Supplier Party’s Energy Supply Licence.</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The Supplier Party referred to in Section H2A.3 is, in respect of a Service relating to a Smart Metering System or Device, the Responsible Supplier for that Smart Metering System or Device.</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Nothing in this Code obliges Supplier Parties to contract with Meter Data Retrieval Services in order to procure from the Meter Data Retrieval Service services that result in the need for the Meter Data Retrieval Service to send Service Requests.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Each Supplier Party shall be responsible for controlling the ability of the Meter Data Retriever to send the Service Requests referred to in Section H2A.2 in circumstances where that Supplier Party would be liable under Section H2A.3.</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USER INTERFACE</w:t>
      </w:r>
    </w:p>
    <w:p>
      <w:pPr>
        <w:pStyle w:val="Heading3"/>
        <w:spacing/>
        <w:ind w:left="600"/>
        <w:contextualSpacing w:val="false"/>
        <w:rPr>
          <w:rFonts w:ascii="Expert Sans" w:hAnsi="Expert Sans" w:cs="Expert Sans"/>
          <w:b/>
          <w:color w:val="000000"/>
          <w:sz w:val="21"/>
          <w:u w:color="000000"/>
        </w:rPr>
      </w:pPr>
      <w:r>
        <w:t xml:space="preserve">Obligation to Maintain DCC User Interfaces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DCC User Interface in accordance with the DCC User Interface Specification, and make it available via DCC Gateway Connections to Users to send and receive communications in accordance with the DCC User Interface Specification and the DCC User Interface Code of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the DCC User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Communications to be sent via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and each User shall use the DCC User Interface for the following communications: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Requests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Signed Pre-Commands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Acknowledgements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Pre-Commands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Responses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Alerts and DCC Alerts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Commands from the DCC to the User pursuant to the Local Command Services;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communications expressly required in this Code to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communications required to be sent via the DCC User Interface under Section H3.3 shall only be validly sent for the purposes of this Code if sent in accordance with this Section H3, Section H4 (Processing Service Requests) and the DCC User Interface Specification.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the DCC User Interface for any purpose other than to meet the requirements of Section H3.3. Only the DCC and Users may use the DCC User Interface.</w:t>
      </w:r>
    </w:p>
    <w:p>
      <w:pPr>
        <w:pStyle w:val="Heading3"/>
        <w:spacing/>
        <w:ind w:left="600"/>
        <w:contextualSpacing w:val="false"/>
        <w:rPr>
          <w:rFonts w:ascii="Expert Sans" w:hAnsi="Expert Sans" w:cs="Expert Sans"/>
          <w:b/>
          <w:color w:val="000000"/>
          <w:sz w:val="21"/>
          <w:u w:color="000000"/>
        </w:rPr>
      </w:pPr>
      <w:r>
        <w:t xml:space="preserve">Eligibility for Services Over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send a Service Request in respect of a Smart Metering System (or a Device forming, or to form, part of a Smart Metering System) unless it is an Eligible User for that Service and Smart Metering System (save that a User may send a Service Request in circumstances where it is not an Eligible User in order to rectify errors, as further described in the Service Request Processing Document).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Whether or not a User is an Eligible User for the following Services is determined as follows: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Enrolment Services, Core Communication Services and Local Command Services, the entitlement is described in Section H3.8;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Elective Communication Services, the entitlement is described in the relevant Bilateral Agreement.</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Subject to Sections H3.9 to H3.10B (inclusive), the following Users are entitled to receive the following Services in respect of a Smart Metering System (or a Device forming, or to form, part of that Smart Metering System</w:t>
      </w:r>
      <w:r>
        <w:rPr>
          <w:rFonts w:ascii="Expert Sans" w:hAnsi="Expert Sans" w:cs="Expert Sans"/>
        </w:rP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Import Supplier for that Smart Metering System is entitled to those Services described in the DCC User Interface Services Schedule as being available to the ‘Import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Export Supplier for that Smart Metering System is entitled to those Services described in the DCC User Interface Services Schedule as being available to the ‘Export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Supplier for that Smart Metering System is entitled to those Services described in the DCC User Interface Services Schedule as being available to the ‘Gas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Electricity Distributor for that Smart Metering System is entitled to those Services described in the DCC User Interface Services Schedule as being available to the ‘Electricity Distributor’;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Transporter for that Smart Metering System is entitled to those Services described in the DCC User Interface Services Schedule as being available to the ‘Gas Transporter’;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Registered Supplier Agent for that Smart Metering System is entitled to those Services described in the DCC User Interface Services Schedule as being available to the ‘Registered Supplier Agent’;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Meter Data Retriever for that Smart Metering System is entitled to those Services described in the DCC User Interface Services Schedule as being available to the 'Meter Data Retriever';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User acting in the User Role of Other User is entitled to those Services described in the DCC User Interface Services Schedule as being available to an ‘Other User’;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certain Services (where specified in the DCC User Interface Services Schedule) and where an electricity Smart Metering System and a gas Smart Metering System share a Communications Hub Function, the Import Supplier is entitled to those Services in respect of the gas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Sections H3.10 and H3.10A, a User’s eligibility for a Service in respect of a Smart Metering System (or a Device forming, or to form, part of that Smart Metering System) is also dependent upon the status of that Smart Metering System (or such a Device), such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Responsible Supplier may send Service Requests in respect of Devices that have an SMI Status of ‘pending’, ‘whitelisted’, ‘installed not commissioned’, ‘commissioned’, or 'suspended';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Users that are not the Responsible Supplier may only send Service Requests in respect of Devices that have an SMI Status of ‘installed not commissioned’ or ‘commissioned’;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 Services are not available in respect of a Smart Metering System until it has been Enrolled.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Certain Services are available on the basis of Eligible User Role (rather than a User’s status as an Eligible User in respect of a particular Smart Metering System or Device). In respect of these Services, references in the DCC User Interface Services Schedule to ‘Electricity Import Supplier’, ‘Electricity Export Supplier’, ‘Gas Import Supplier’, ‘Electricity Network Operator’, ‘Gas Network Operator’, ‘Registered Supplier Agent’, 'Meter Data Retriever' and ‘Other Users’ are to the corresponding User Roles. The Services in question are those described in the DCC User Interface Services Schedule 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‘Request WAN Matrix’;</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Pre-notifications’;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‘Read Inventory’;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Success’;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Certain Services (or certain functionality in respect of certain Services) may be identified in the DCC User Interface Services Schedule as not being available in respect of SMETS1 Devices in general or in relation to particular SMETS1 Device Models. Where this is the case, Users are not Eligible Users for the Services (or affected functionality) that are identified as being unavailable in such circumstances.</w:t>
      </w:r>
    </w:p>
    <w:p>
      <w:pPr>
        <w:pStyle w:val="Normal"/>
        <w:numPr>
          <w:ilvl w:val="2"/>
          <w:numId w:val="12"/>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Party can, to the extent permitted under the Common Test Scenarios Document, complete User Entry Process Testing for a User Role (and consequently become an Eligible User for that User Role) without successfully completing testing for all the Service Requests potentially available to a User in that User Role. However, such a User will only be an Eligible User for those Service Requests in respect of which it has successfully completed testing (and not those which it has not).</w:t>
      </w:r>
    </w:p>
    <w:p>
      <w:pPr>
        <w:pStyle w:val="Heading3"/>
        <w:spacing/>
        <w:ind w:left="600"/>
        <w:contextualSpacing w:val="false"/>
        <w:rPr>
          <w:rFonts w:ascii="Expert Sans" w:hAnsi="Expert Sans" w:cs="Expert Sans"/>
          <w:b/>
          <w:color w:val="000000"/>
          <w:sz w:val="21"/>
          <w:u w:color="000000"/>
        </w:rPr>
      </w:pPr>
      <w:r>
        <w:t xml:space="preserve">Categories of Service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Enrolment Services, Local Command Services and Core Communication Services fall into the following categories (and corresponding categories may be established in respect of Elective Communication Services under Bilateral Agreements):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‘on-demand’ services, and which a User requests on such basis (“On-Demand Services");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‘future-dated’ services, and which a User requests on such basis specifying the relevant time and date for execution (“Future-Dated Services”);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‘scheduled’ services, and which a User requests on such basis specifying the initial time and date for execution as well as the frequency at which execution is to recur (“Scheduled Services”).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only accept a Service Request for a Future-Dated Service or a Scheduled Service that has an execution date that is later than the time on the date at which the Service Request is received by the DCC. No User may request a Future- Dated Service that has an execution date of more than 30 days after the date on which the Service Request is sent to the DCC.</w:t>
      </w:r>
    </w:p>
    <w:p>
      <w:pPr>
        <w:pStyle w:val="Heading3"/>
        <w:spacing/>
        <w:ind w:left="600"/>
        <w:contextualSpacing w:val="false"/>
        <w:rPr>
          <w:rFonts w:ascii="Expert Sans" w:hAnsi="Expert Sans" w:cs="Expert Sans"/>
          <w:b/>
          <w:color w:val="000000"/>
          <w:sz w:val="21"/>
          <w:u w:color="000000"/>
        </w:rPr>
      </w:pPr>
      <w:r>
        <w:t xml:space="preserve">Sequenced Services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An On-Demand Service or a Future-Dated Service may also be requested on the basis that it is only to be provided following the successful execution of a specified Service Request (“</w:t>
      </w:r>
      <w:r>
        <w:rPr>
          <w:b/>
        </w:rPr>
        <w:t xml:space="preserve">Sequenced Services</w:t>
      </w:r>
      <w:r>
        <w:t xml:space="preserve">”).</w:t>
      </w:r>
    </w:p>
    <w:p>
      <w:pPr>
        <w:pStyle w:val="Heading3"/>
        <w:spacing/>
        <w:ind w:left="600"/>
        <w:contextualSpacing w:val="false"/>
        <w:rPr>
          <w:rFonts w:ascii="Expert Sans" w:hAnsi="Expert Sans" w:cs="Expert Sans"/>
          <w:b/>
          <w:color w:val="000000"/>
          <w:sz w:val="21"/>
          <w:u w:color="000000"/>
        </w:rPr>
      </w:pPr>
      <w:r>
        <w:rPr>
          <w:b/>
          <w:color w:val="000000"/>
          <w:sz w:val="21"/>
          <w:u w:color="000000"/>
        </w:rPr>
        <w:t xml:space="preserve">Use of Services for purposes relating to the electricity settlements process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Users shall submit any Service Requests for the purpose of submitting data into the electricity settlements process through a Scheduled Service where such a Service is available and shall only request an On-Demand Service where a Scheduled Service fails or is not available.</w:t>
      </w:r>
    </w:p>
    <w:p>
      <w:pPr>
        <w:pStyle w:val="Heading3"/>
        <w:spacing/>
        <w:ind w:left="600"/>
        <w:contextualSpacing w:val="false"/>
        <w:rPr>
          <w:rFonts w:ascii="Expert Sans" w:hAnsi="Expert Sans" w:cs="Expert Sans"/>
          <w:b/>
          <w:color w:val="000000"/>
          <w:sz w:val="21"/>
          <w:u w:color="000000"/>
        </w:rPr>
      </w:pPr>
      <w:r>
        <w:t xml:space="preserve">Target Response Times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(subject to Section H3.15) undertake the following activities within the following time periods (each such time period being, in respect of each such activity, the “</w:t>
      </w:r>
      <w:r>
        <w:rPr>
          <w:b/>
        </w:rPr>
        <w:t xml:space="preserve">Target Response Time</w:t>
      </w:r>
      <w:r>
        <w:t xml:space="preserve">” for that activity, subject to Section H3.15):</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Transforming Critical Service Requests into Pre-Commands and sending to the relevant User, within 3 seconds from receipt of the Service Request;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Non-Critical Service Request for an On-Demand Service that is not a Sequenced Service, within the applicable time period set out in the DCC User Interface Services Schedule measured from receipt of the Service Request from the User;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Critical Service Request for an On-Demand Service that is not a Sequenced Service, within the applicable time period set out in the DCC User Interface Services Schedule measured from receipt of the Signed Pre-Command from the User;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an On- Demand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not a Sequenced Service or for a Scheduled Service, within the applicable time period set out in the DCC User Interface Services Schedule measured from the time and date for execution specified in the Service Request;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(except for the Alerts referred to in (h), (i) and (j) below, and except for any Alerts consolidated in accordance with the Alert Management Mechanism) sending a User an Alert, within 60 seconds measured from the Alert being communicated to (Device Alerts) or generated by (Non-Device Alerts) the Communications Hub Function;</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for the Services Request ‘Update Device Configuration (Billing Calendar)’, in addition to the above response times applicable to the Service Response confirming the configuration, periodic Alerts will be generated as a result of such configuration, for which the response time for sending the Alert to the User shall be within 24 hours from the relevant data having been communicated to the Communications Hub Function;</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for the Alert ‘Power Outage Event (AD1)’,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the Alert is generated by the Communications Hub Function;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for the Alerts ‘Supply Outage Restored (0x8F35)’ and ‘Supply Outage Restored – Outage &gt;= 3 minutes (0x8F36)’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an Alert is generated by the Electricity Smart Meter.</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For clarity, where the DCC uses a CSP System other than a CSP System predominantly based on second or third generation cellular technology or predominantly based on long-range radio technology as the SM WAN for the purposes of communicating with a Communications Hub, then Section H3.14(i) and Section H3.14(j) shall not apply and all Alerts will be subject to Section H3.14(g).</w:t>
      </w:r>
    </w:p>
    <w:p>
      <w:pPr>
        <w:pStyle w:val="Normal"/>
        <w:numPr>
          <w:ilvl w:val="2"/>
          <w:numId w:val="22"/>
        </w:numPr>
        <w:spacing/>
        <w:ind w:left="1300" w:hanging="700"/>
        <w:contextualSpacing w:val="false"/>
        <w:jc w:val="left"/>
        <w:rPr>
          <w:rFonts w:ascii="Expert Sans" w:hAnsi="Expert Sans" w:cs="Expert Sans"/>
          <w:color w:val="000000"/>
          <w:sz w:val="19"/>
          <w:u w:color="000000"/>
        </w:rPr>
      </w:pPr>
      <w:r>
        <w:t xml:space="preserve">For the Alerts which are subject to Section H3.14(i) or H3.14(j), the Target Response Times, the methodology for reviewing and determining these times, and any exclusions that shall be applied in determining whether these times have been met shall be set out in the Power Outage &amp; Restoration Alerts Delivery Management Document. The Power Outage &amp; Restoration Alerts Delivery Management Document shall be reviewed at least annually by the DCC in consultation with the Parties. Any changes to the Power Outage &amp; Restoration Alerts Delivery Management Document shall be prepared and consulted upon by the DCC and approved by the Panel. Following each review of the document and its approval by the Panel, the new Target Response Times for the forthcoming year will be established and applied using the updated methodology. In preparing and consulting on any changes to the document, the DCC shall seek and pay particular attention to views given by Electricity Network Parties.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Target Response Times set out in Section H3.14 shall not apply to activities in respect of SMETS1 Devices, and the Target Response Times for activities in respect of SMETS1 Devices shall instead be determined in accordance with the DCC User Interface Services Schedule. For the purposes of Section H3.14 and activities in respect of SMETS2+ Devices: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concepts of ‘sending’ and ‘receipt’ are to be interpreted in accordance with the explanation of those concepts in the DCC User Interface Specification;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any time during which an anomalous communication is quarantined by the DCC in accordance with Section H4 (Processing Service Requests) shall be disregarded for the purpose of measuring Response Times;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time taken by the Communications Hub Function in communicating with the other Devices forming part of a Smart Metering System shall be disregarded.</w:t>
      </w:r>
    </w:p>
    <w:p>
      <w:pPr>
        <w:pStyle w:val="Heading3"/>
        <w:spacing/>
        <w:ind w:left="600"/>
        <w:contextualSpacing w:val="false"/>
        <w:rPr>
          <w:rFonts w:ascii="Expert Sans" w:hAnsi="Expert Sans" w:cs="Expert Sans"/>
          <w:b/>
          <w:color w:val="000000"/>
          <w:sz w:val="21"/>
          <w:u w:color="000000"/>
        </w:rPr>
      </w:pPr>
      <w:r>
        <w:t xml:space="preserve">Inherent Restrictions Linked to Technical Specifications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Services set out in the DCC User Interface Services Schedule are available only insofar as the minimum functionality of Devices as described in the Technical Specifications (or, to the extent required to support that minimum functionality, the GB Companion Specification or SMETS1 Supporting Requirements) allows for such Services. Any Services required in respect of additional functionality of Devices should be requested as Elective Communication Services. This Section H3.16 does not apply in respect of Services to which Non-Device Service Requests apply.</w:t>
      </w:r>
    </w:p>
    <w:p>
      <w:pPr>
        <w:pStyle w:val="Heading3"/>
        <w:spacing/>
        <w:ind w:left="600"/>
        <w:contextualSpacing w:val="false"/>
        <w:rPr>
          <w:rFonts w:ascii="Expert Sans" w:hAnsi="Expert Sans" w:cs="Expert Sans"/>
          <w:b/>
          <w:color w:val="000000"/>
          <w:sz w:val="21"/>
          <w:u w:color="000000"/>
        </w:rPr>
      </w:pPr>
      <w:r>
        <w:t xml:space="preserve">Change of Tenancy</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As soon as reasonably practicable after a Responsible Supplier for an Enrolled Smart Metering System relating to a premises becomes aware of a change of occupancy at that premises, that Responsible Supplier shall send a ‘Restrict Access for Change of Tenancy’ Service Request to the DCC in relation to the Smart Meter and any Gas Proxy Function forming part of that Smart Metering System (except where the out- going Energy Consumer has indicated that they wish historic information on the Smart Metering System to remain available to be viewed).</w:t>
      </w:r>
    </w:p>
    <w:p>
      <w:pPr>
        <w:pStyle w:val="Heading3"/>
        <w:spacing/>
        <w:ind w:left="600"/>
        <w:contextualSpacing w:val="false"/>
        <w:rPr>
          <w:rFonts w:ascii="Expert Sans" w:hAnsi="Expert Sans" w:cs="Expert Sans"/>
          <w:b/>
          <w:color w:val="000000"/>
          <w:sz w:val="21"/>
          <w:u w:color="000000"/>
        </w:rPr>
      </w:pPr>
      <w:r>
        <w:t xml:space="preserve">Cancellation of Future-Dated and Scheduled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As soon as reasonably practicable after receipt by the DCC of a Service Response from a Smart Metering System in respect of a ‘Restrict Access for Change of Tenancy’ Service Request, the DCC shall cancel any and all Service Requests for Future-Dated Services or Scheduled Services in respect of any Device forming part of that Smart Metering System for which the Command has not yet been sent and which are being processed on behalf of an Other User (and shall notify the relevant User of such cancellation via the DCC User Interface).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cancel any and all Service Requests for Future-Dated Services or Scheduled Services for which the Command has not yet been sent and which are due to be undertaken in respect of a Device after the Decommissioning or Suspension of that Device (and shall notify the relevant User of such cancellation via the DCC User Interface).</w:t>
      </w:r>
    </w:p>
    <w:p>
      <w:pPr>
        <w:pStyle w:val="Heading3"/>
        <w:spacing/>
        <w:ind w:left="600"/>
        <w:contextualSpacing w:val="false"/>
        <w:rPr>
          <w:rFonts w:ascii="Expert Sans" w:hAnsi="Expert Sans" w:cs="Expert Sans"/>
          <w:b/>
          <w:color w:val="000000"/>
          <w:sz w:val="21"/>
          <w:u w:color="000000"/>
        </w:rPr>
      </w:pPr>
      <w:r>
        <w:t xml:space="preserve">Managing Demand for DCC User Interface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During the months of January, April, July and October, by the 15th Working Day of the month, the DCC shall provide to the Panel and all Users the DCC's forecast of the number of Service Requests that all Users will (collectively) send in each of the 6 months following the end of the month in which such forecast is provided. Such forecast shall contain a breakdown of the total number of Service Requests by reference to each Service Reference Variant listed in the DCC User Interface Services Schedule; provided that for Service Reference Variant 11.1 (Update Firmware), the forecast must predict the aggregate number of Device upgrade requests that will be specified in the Service Requests (rather than the number of Service Requests). Each such forecast must specify the DCC's estimate of the number of Smart Meter installations and Enrolments which all Users will (collectively) undertake during each relevant month (recognising that such installations and Enrolments drive Service Request volumes).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produce, periodically review and update, and apply a methodology (including applicable assumptions) for creating the DCC's forecasts under Section H3.21. The DCC shall share such methodology (and updates) with the Panel and Users, and the DCC shall take into account any comments on such methodology received from the Panel and Users. In producing its forecasts under Section H3.21, the DCC shall take into account any and all information provided by Users under Section H3.25.</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monitor and record the aggregate number of Service Requests sent by each User in total, and also the aggregate number of Service Requests sent by each User in respect of each Service Reference Variant listed in the DCC User Interface Services Schedule. In addition, for Service Reference Variant 11.1 (Update Firmware), the DCC shall monitor and record the aggregate number of Device upgrade requests specified in Service Requests.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During the months of February, May, August and November, by no later than the 10th Working Day of the month, the DCC shall provide to the Panel and all Users a report which sets out: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aggregate number of Service Requests sent by all Users (collectively) during each of the previous 3 months (in total and broken down by reference to each Service Reference Variant listed in the DCC User Interface Services Schedule, and by number of Device upgrade requests for Service Reference Variant 11.1 (Update Firmware)), and comparing the actual numbers sent against the numbers most recently forecast for the applicable month;</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DCC's assessment as to the cause of any significant deviation (taking into account any directions of the Panel concerning significance) between the DCC's forecasts and the actual numbers under paragraph (a) above, and the DCC's proposed corrective action;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current value (calculated at the end of each of the previous three months) for every Monthly Service Metric (measured across all Users collectively) and a comparison of the current value against the relevant Monthly Service Threshold.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Each User has the option (but no obligation) to review the (collective) forecasts and reports on actuals produced by the DCC under Sections H3.21 and H3.24. Each User has the option (but no obligation) to notify the DCC where the User disagrees with the DCC's forecast (recognising that the forecasts relate to Users collectively, and each User will only be aware of matters relating to itself), including where the User is aware of expected changes to one or more of the following (each of which will apply by reference to any threshold or other guidelines approved by the Panel from time to time):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User's daily/monthly distribution or volume of Service Requests;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User's monthly Smart Meter installation capacity;</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firmware releases for the User's Devices; and/or</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tariff updates for the User's customers.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Panel shall maintain and publish a list of priority Service Requests (if any) in respect of which the DCC must focus its efforts in achieving forecasting accuracy under Section H3.21. A Service Request shall only be added or removed from the list on the application of one or more Users or the DCC, and where the Panel considers the addition or removal to be reasonable in circumstances. The Panel shall publish the list from time to time on the Website, and shall give the DCC and each User advance notice of any changes to the list.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on or around each anniversary of the date on which it first started providing Services over the DCC User Interface, review (and report to the Panel on) each Monthly Service Metric and associated Monthly Service Threshold to establish whether they are still an appropriate mechanism to illustrate User behaviour that may utilise a significant element of the capacity requirements of the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considered to be in breach of this Code with regard to the obligation to achieve Target Response Times if, for the month in question:</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aggregate Service Requests sent by all Users exceeds 110% of the aggregate demand most recently forecast by the DCC for that month for all Users pursuant to Section H3.21;</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DCC can demonstrate to the Panel's reasonable satisfaction that the DCC did not receive comments or other information (including revisions to Anomaly Detection Thresholds) from Users which should reasonably have led the DCC to change its forecasts; and</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provided that the DCC shall nevertheless in such circumstances take reasonable steps to achieve the Target Response Times.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PROCESSING SERVICE REQUESTS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request by Users, and the provision by the DCC, of certain Services is achieved by means of the sending of communications in accordance with Section H3.3 (Communications to be Sent via the DCC User Interface) and this Section H4. The Services in question 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Enrolment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Local Command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Core Communication Services;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Processing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Service Request Processing Document concerning the secure processing of the communications required to be sent via the DCC User Interface.</w:t>
      </w:r>
    </w:p>
    <w:p>
      <w:pPr>
        <w:pStyle w:val="Heading3"/>
        <w:spacing/>
        <w:ind w:left="600"/>
        <w:contextualSpacing w:val="false"/>
        <w:rPr>
          <w:rFonts w:ascii="Expert Sans" w:hAnsi="Expert Sans" w:cs="Expert Sans"/>
          <w:b/>
          <w:color w:val="000000"/>
          <w:sz w:val="21"/>
          <w:u w:color="000000"/>
        </w:rPr>
      </w:pPr>
      <w:r>
        <w:t xml:space="preserve">DCC IDs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obtain and use EUI-64 Compliant identification numbers for the purposes of its communications under this Code. Where it is expedient to do so, the DCC may use different identification numbers to identify different DCC roles.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Section G (Security) requires it to Separate one part of the DCC Systems from another part of the DCC Systems, use different identification numbers for the purposes of its communications from each such part of the DCC Systems;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 different identification numbers for the purposes of becoming a Subscriber for different Organisation Certificates or OCA Certificates with different Remote Party Role Codes.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SMART METERING INVENTORY AND ENROLMENT SERVICES</w:t>
      </w:r>
    </w:p>
    <w:p>
      <w:pPr>
        <w:pStyle w:val="Heading3"/>
        <w:spacing/>
        <w:ind w:left="600"/>
        <w:contextualSpacing w:val="false"/>
        <w:rPr>
          <w:rFonts w:ascii="Expert Sans" w:hAnsi="Expert Sans" w:cs="Expert Sans"/>
          <w:b/>
          <w:color w:val="000000"/>
          <w:sz w:val="21"/>
          <w:u w:color="000000"/>
        </w:rPr>
      </w:pPr>
      <w:r>
        <w:t xml:space="preserve">Overview of Enrolment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Enrolment of a Smart Metering System occurs: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electricity, on the Commissioning of the Electricity Smart Meter forming part of that Smart Metering System;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gas, on the Commissioning of both the Gas Smart Meter and the Gas Proxy Function forming part of that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that is to form part of a Smart Metering System (other than the Communications Hub Function) can be Commissioned before the Communications Hub Function that is to form part of that Smart Metering System has been 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can be 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unless it is listed on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for Type 2 Devices, if it is listed with an SMI Status of 'decommissioned'.</w:t>
      </w:r>
    </w:p>
    <w:p>
      <w:pPr>
        <w:pStyle w:val="Heading3"/>
        <w:spacing/>
        <w:ind w:left="600"/>
        <w:contextualSpacing w:val="false"/>
        <w:rPr>
          <w:rFonts w:ascii="Expert Sans" w:hAnsi="Expert Sans" w:cs="Expert Sans"/>
          <w:b/>
          <w:color w:val="000000"/>
          <w:sz w:val="21"/>
          <w:u w:color="000000"/>
        </w:rPr>
      </w:pPr>
      <w:r>
        <w:t xml:space="preserve">Statement of Service Exemptions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accordance with Condition 17 of the DCC Licence (and notwithstanding any other provision of this Section H5), the DCC is not obliged to Commission a Communications Hub Function (or therefore to Enrol the corresponding Smart Metering System) where the DCC is exempted from the requirement to do so in accordance with a Statement of Service Exemptions; save where the DCC is able to Commission the Communications Hub Function via the Virtual WAN Provider Service.</w:t>
      </w:r>
    </w:p>
    <w:p>
      <w:pPr>
        <w:pStyle w:val="Heading3"/>
        <w:spacing/>
        <w:ind w:left="600"/>
        <w:contextualSpacing w:val="false"/>
        <w:rPr>
          <w:rFonts w:ascii="Expert Sans" w:hAnsi="Expert Sans" w:cs="Expert Sans"/>
          <w:b/>
          <w:color w:val="000000"/>
          <w:sz w:val="21"/>
          <w:u w:color="000000"/>
        </w:rPr>
      </w:pPr>
      <w:r>
        <w:t xml:space="preserve">Smart Metering Inventory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establish and maintain the Smart Metering Inventory in accordance with the Inventory, Enrolment and Decommissioning Procedures.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addition and removal of Devices to and from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changes to the SMI Status of the Devices recorded on the Smart Metering Inventory from time to time.</w:t>
      </w:r>
    </w:p>
    <w:p>
      <w:pPr>
        <w:pStyle w:val="Heading3"/>
        <w:spacing/>
        <w:ind w:left="600"/>
        <w:contextualSpacing w:val="false"/>
        <w:rPr>
          <w:rFonts w:ascii="Expert Sans" w:hAnsi="Expert Sans" w:cs="Expert Sans"/>
          <w:b/>
          <w:color w:val="000000"/>
          <w:sz w:val="21"/>
          <w:u w:color="000000"/>
        </w:rPr>
      </w:pPr>
      <w:r>
        <w:t xml:space="preserve">Enrolment of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Document,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before a Device that is listed on the Smart Metering Inventory is installed and/or Commissioned at a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in order to Commission such a Device;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following the Commissioning of such a Device;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on the removal and/or replacement of any Device forming part of a Smart Metering System.</w:t>
      </w:r>
    </w:p>
    <w:p>
      <w:pPr>
        <w:pStyle w:val="Heading3"/>
        <w:spacing/>
        <w:ind w:left="600"/>
        <w:contextualSpacing w:val="false"/>
        <w:rPr>
          <w:rFonts w:ascii="Expert Sans" w:hAnsi="Expert Sans" w:cs="Expert Sans"/>
          <w:b/>
          <w:color w:val="000000"/>
          <w:sz w:val="21"/>
          <w:u w:color="000000"/>
        </w:rPr>
      </w:pPr>
      <w:r>
        <w:t xml:space="preserve">SMETS1</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SMETS1 Smart Metering System is eligible to be Enrolled when the combination of SMETS1 Devices of which it is comprised form all or part of a SMETS1 Installation for which all the Devices are of Device Models which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comprise a combination of Device Models listed on the SMETS1 Eligible Product Combinations;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could as a result of the application of an existing firmware upgrade or upgrades become a combination of Device Models listed on the SMETS1 Eligible Product Combinations.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only be required to Enrol SMETS1 Smart Metering Systems, or process Service Requests in respect of SMETS1 Smart Me</w:t>
      </w:r>
      <w:r>
        <w:rPr>
          <w:sz w:val="19"/>
        </w:rPr>
        <w:t xml:space="preserve">tering Systems, that comprise a combination of Device Models that is listed on the SMETS1 Eligible Product Combinations</w:t>
      </w:r>
      <w:r>
        <w:rPr>
          <w:color w:val="000000"/>
          <w:sz w:val="19"/>
          <w:u w:color="000000"/>
        </w:rPr>
        <w:t xml:space="preserve"> or that contain a Non-EPCL Device Model</w:t>
      </w:r>
      <w:r>
        <w:rPr>
          <w:sz w:val="19"/>
        </w:rP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Inventory, Enrolment and Decommissioning Procedures Document may also set out circumstances in which the Panel may direct the DCC not to Commission a SMETS1 Device (or purported SMETS1 Device).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DECOMMISSIONING AND SUSPENSION OF DEVICES</w:t>
      </w:r>
    </w:p>
    <w:p>
      <w:pPr>
        <w:pStyle w:val="Heading3"/>
        <w:spacing/>
        <w:ind w:left="600"/>
        <w:contextualSpacing w:val="false"/>
        <w:rPr>
          <w:rFonts w:ascii="Expert Sans" w:hAnsi="Expert Sans" w:cs="Expert Sans"/>
          <w:b/>
          <w:color w:val="000000"/>
          <w:sz w:val="21"/>
          <w:u w:color="000000"/>
        </w:rPr>
      </w:pPr>
      <w:r>
        <w:t xml:space="preserve">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 other than a Type 2 Device is no longer to form part of a Smart Metering System, then that Device should be Decommissioned. A Device may be Decommissioned because it has been uninstalled and/or is no longer operating (whether or not it has been replaced, and including where the Device has been lost, stolen or destroyed).</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Only the Responsible Supplier(s) for a Communications Hub Function, Smart Meter, Gas Proxy Function, Standalone Auxiliary Proportional Controller or Type 1 Device may Decommission such a Device; provided that only the Lead Supplier may Decommission a SMETS1 CHF.</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Responsible Supplier (or, in the case of a SMETS1 CHF, the Lead Supplier) becomes aware that a Device has been uninstalled and/or is no longer operating, that User shall send a Service Request requesting that it is Decommissioned.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successful processing of a Service Request from a User in accordance with Section H6.3,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set the SMI Status of the Device to ‘decommissioned’;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relevant, amend the Smart Metering Inventory so that the Device is no longer Associated with any other Devices;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Device in question is a Communications Hub Function, notify any and all Responsible Suppliers (other than the Responsible Supplier that procured such Decommissioning) for that Communications Hub Function of such 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receives a Service Request from a User that does not satisfy the requirements of Section H6.2, the DCC shall reject the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the Decommissioning of a Communications Hub Function, the other Devices forming part of a Smart Metering System should also be Decommissioned; provided that the Devices forming part of a Smart Metering System (other than the Gas Proxy Function) may remain Commissioned notwithstanding the Decommissioning of the Communications Hub Function if a replacement Communications Hub Function is Commissioned within a reasonable period.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Suspension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Device’s Device Model is either marked as 'removed' or does not have a current entry on the Central Products List, that Device shall be 'Suspended' and the DCC shall set the SMI Status of the Device to ‘Suspended’.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Communications Hub Device Model is marked as 'removed' or does not have a current entry on the Central Products List, both the Communications Hub Function and the Gas Proxy Function shall be deemed to be 'Suspended' (and Section H6.10 shall apply accordingly).</w:t>
      </w:r>
    </w:p>
    <w:p>
      <w:pPr>
        <w:pStyle w:val="Heading3"/>
        <w:spacing/>
        <w:ind w:left="600"/>
        <w:contextualSpacing w:val="false"/>
        <w:rPr>
          <w:rFonts w:ascii="Expert Sans" w:hAnsi="Expert Sans" w:cs="Expert Sans"/>
          <w:b/>
          <w:color w:val="000000"/>
          <w:sz w:val="21"/>
          <w:u w:color="000000"/>
        </w:rPr>
      </w:pPr>
      <w:r>
        <w:t xml:space="preserve">Ancillary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obligations set out in the Inventory, Enrolment and Decommissioning Procedures concerning Decommissioning and Suspension of Devices (and the Smart Metering Systems of which such Devices form part), including (where applicable) notifying other Users of such Decommissioning and Suspension.</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Eligible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can only be provided in respect of Smart Metering Systems that have been Enrolled.</w:t>
      </w:r>
    </w:p>
    <w:p>
      <w:pPr>
        <w:pStyle w:val="Heading3"/>
        <w:spacing/>
        <w:ind w:left="600"/>
        <w:contextualSpacing w:val="false"/>
        <w:rPr>
          <w:rFonts w:ascii="Expert Sans" w:hAnsi="Expert Sans" w:cs="Expert Sans"/>
          <w:b/>
          <w:color w:val="000000"/>
          <w:sz w:val="21"/>
          <w:u w:color="000000"/>
        </w:rPr>
      </w:pPr>
      <w:r>
        <w:t xml:space="preserve">Entitlement to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Only a User is entitled to receive Elective Communication Services. A Party that is not a User is not entitled to receive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be entitled to request or receive (and the DCC shall not provide to such User) any Elective Communication Services that would constitute a Restricted Communication Service.</w:t>
      </w:r>
    </w:p>
    <w:p>
      <w:pPr>
        <w:pStyle w:val="Heading3"/>
        <w:spacing/>
        <w:ind w:left="600"/>
        <w:contextualSpacing w:val="false"/>
        <w:rPr>
          <w:rFonts w:ascii="Expert Sans" w:hAnsi="Expert Sans" w:cs="Expert Sans"/>
          <w:b/>
          <w:color w:val="000000"/>
          <w:sz w:val="21"/>
          <w:u w:color="000000"/>
        </w:rPr>
      </w:pPr>
      <w:r>
        <w:t xml:space="preserve">Preliminary Assessment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Notwithstanding Section H7.1 and H7.2, any Party may request an initial evaluation of the technical feasibility and likely Charges for a proposed Elective Communication Service (a “</w:t>
      </w:r>
      <w:r>
        <w:rPr>
          <w:b/>
        </w:rPr>
        <w:t xml:space="preserve">Preliminary Assessment</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Preliminary Assessment shall be made in such format as the DCC may specify from time to time, and shall be submitted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respond to requests for a Preliminary Assessment in accordance with the time period prescribed by Condition 17 of the DCC Licence, and shall either (in accordance with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an initial evaluation of the technical feasibility and the likely Charges for a proposed Elective Communication Service;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notice that a further and more detailed evaluation of the request is required.</w:t>
      </w:r>
    </w:p>
    <w:p>
      <w:pPr>
        <w:pStyle w:val="Heading3"/>
        <w:spacing/>
        <w:ind w:left="600"/>
        <w:contextualSpacing w:val="false"/>
        <w:rPr>
          <w:rFonts w:ascii="Expert Sans" w:hAnsi="Expert Sans" w:cs="Expert Sans"/>
          <w:b/>
          <w:color w:val="000000"/>
          <w:sz w:val="21"/>
          <w:u w:color="000000"/>
        </w:rPr>
      </w:pPr>
      <w:r>
        <w:t xml:space="preserve">Detailed Evaluation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and obtained a response as described in Section H7.6(b) may request a more detailed evaluation of the technical feasibility and likely Charges for a proposed Elective Communication Service (a “</w:t>
      </w:r>
      <w:r>
        <w:rPr>
          <w:b/>
        </w:rPr>
        <w:t xml:space="preserve">Detailed Evaluation</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Detailed Evaluation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Party that this is the case and provide reasonable assistance to the Party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applicable Charges payable in respect of the Detailed Evaluation;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pay the applicable Charges, provide the Detailed Evaluation to the requesting Party (in accordance with the time period prescribed by Condition 17 of the DCC Licence).</w:t>
      </w:r>
    </w:p>
    <w:p>
      <w:pPr>
        <w:pStyle w:val="Heading3"/>
        <w:spacing/>
        <w:ind w:left="600"/>
        <w:contextualSpacing w:val="false"/>
        <w:rPr>
          <w:rFonts w:ascii="Expert Sans" w:hAnsi="Expert Sans" w:cs="Expert Sans"/>
          <w:b/>
          <w:color w:val="000000"/>
          <w:sz w:val="21"/>
          <w:u w:color="000000"/>
        </w:rPr>
      </w:pPr>
      <w:r>
        <w:t xml:space="preserve">Request for an Offer for an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in respect of a proposed Elective Communication Service, and obtained a response as described in Section H7.6(a),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and obtained a Detailed Evaluation in respect of a proposed Elective Communication Service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 request pursuant to Section H7.9 or H7.10, the DCC shall (in accordance with the time period prescribed by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make an offer to provide the Elective Communication Service in question;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the Party that the DCC is not willing to make such an offer (provided that the DCC may only do so where the DCC is not obliged to make such an offer in accordance with Condition 17 of the DCC Licence).</w:t>
      </w:r>
    </w:p>
    <w:p>
      <w:pPr>
        <w:pStyle w:val="Heading3"/>
        <w:spacing/>
        <w:ind w:left="600"/>
        <w:contextualSpacing w:val="false"/>
        <w:rPr>
          <w:rFonts w:ascii="Expert Sans" w:hAnsi="Expert Sans" w:cs="Expert Sans"/>
          <w:b/>
          <w:color w:val="000000"/>
          <w:sz w:val="21"/>
          <w:u w:color="000000"/>
        </w:rPr>
      </w:pPr>
      <w:r>
        <w:t xml:space="preserve">Formal Offer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 offer to provide the Elective Communication Service made by the DCC pursuant to this Section H7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details of the Charges that would apply to the Elective Communication Service, as determined in accordance with the Charging Methodology;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proposed Charges have been calculated (in accordance with the Charging Methodology) on the assumption that one or more other Parties accept offers made pursuant to this Section H7, provide for two alternative sets of Charges, one of which is contingent on acceptance of all the other such offers and one of which is not;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an offer by the DCC to enter into a Bilateral Agreement with the Party requesting the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Bilateral Agreement must: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based on the Specimen Bilateral Agreement, subject only to such variations from such specimen form as are reasonable in the circumstances;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 contradict or seek to override any or all of this Section H or Sections G (Security), I (Data Privacy), J (Charges), L (Smart Metering Key Infrastructure) or M (General);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provide for Charges that include or comprise a standing charge that is payable by the recipient of the Elective Communication Service regardless of whether or not the Elective Communication Service is requested or provided;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require the recipient of the Elective Communication Service to pay compensation to DCC in the event of the early termination of the Bilateral Agreement (except in the case of termination as envisaged by Section H7.13(e));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allow the recipient of the Elective Communication Services to terminate the Bilateral Agreement without paying compensation to the extent that such compensation is intended to recover investments made for the purposes of providing the Elective Communication Service where (and to the extent that) the DCC subsequently offers a Service listed in the DCC User Interface Services Schedule that relies upon such investments (and each Bilateral Agreement must provide for disputes regarding this provision to be subject to an initial Panel determination, but to ultimately be determined by arbitration);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require the recipient of the Elective Communication Services to provide credit support in respect of its obligation to pay the compensation referred to in Section H7.13(d).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parties to each Bilateral Agreement shall ensure that the Bilateral Agreement describes the Elective Communication Services in a manner consistent with the description of the Core Communication Services in this Code, including so as to identify (to the extent appropriate) equivalents of the following concepts: Service Requests; Non-Device Service Requests; Pre-Commands; Signed Pre-Commands; Commands; Services Responses; Alerts; and Target Response Times. To the extent that an Elective Communication Service comprises equivalents of such concepts, references to such concepts in this Code shall be construed as including the equivalent concepts under each Bilateral Agreement (and the DCC and the relevant User under the Bilateral Agreement shall comply with Sections H3 (DCC User Interface) and H4 (Processing Service Requests) in respect of the same). For the purposes of each Elective Communication Service (unless the Panel otherwise determined on a User’s application):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applicable Service Request shall be deemed to be a Critical Service Request, unless it results only in the sending of a Command to a Device that would arise were a Non-Critical Service Request listed in the DCC User Interface Service Schedule to be requested;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in the case of SMETS1 Service Requests, the applicable Service Request (and any associated Pre-Command) shall be deemed to contain Data that requires Encryption, unless it contains only Data described in the GB Companion Specification as capable of being sent without Encryption.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shall be provided in accordance with this Code and the applicable Bilateral Agreement. In the event of any inconsistency between this Code and a Bilateral Agreement, the provisions of this Code shall prevail.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not agree to any variations to a Bilateral Agreement that would cause that agreement to become inconsistent with the requirements of this Section H7.</w:t>
      </w:r>
    </w:p>
    <w:p>
      <w:pPr>
        <w:pStyle w:val="Heading3"/>
        <w:spacing/>
        <w:ind w:left="600"/>
        <w:contextualSpacing w:val="false"/>
        <w:rPr>
          <w:rFonts w:ascii="Expert Sans" w:hAnsi="Expert Sans" w:cs="Expert Sans"/>
          <w:b/>
          <w:color w:val="000000"/>
          <w:sz w:val="21"/>
          <w:u w:color="000000"/>
        </w:rPr>
      </w:pPr>
      <w:r>
        <w:t xml:space="preserve">Disputes Regarding Offers for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requirements of Condition 20 of the DCC Licence are met, a Party that has requested an offer for a proposed Elective Communication Service may refer a dispute regarding such request to the Authority for determination under and in accordance with that Condition.</w:t>
      </w:r>
    </w:p>
    <w:p>
      <w:pPr>
        <w:pStyle w:val="Heading3"/>
        <w:spacing/>
        <w:ind w:left="600"/>
        <w:contextualSpacing w:val="false"/>
        <w:rPr>
          <w:rFonts w:ascii="Expert Sans" w:hAnsi="Expert Sans" w:cs="Expert Sans"/>
          <w:b/>
          <w:color w:val="000000"/>
          <w:sz w:val="21"/>
          <w:u w:color="000000"/>
        </w:rPr>
      </w:pPr>
      <w:r>
        <w:t xml:space="preserve">Publication of Details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the DCC has commenced provision of an Elective Communication Service pursuant to a Bilateral Agreement, the DCC shall notify the Code Administrator of the date on which the provision of such service commenced (but shall not provide any details regarding such agreement to the Code Administrator).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 or around the date falling six months after it commenced provision of an Elective Communication Service pursuant to a Bilateral Agreement, provide to the Code Administrator the following details: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brief description of the Elective Communication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frequency with which, and (where stated) the period during which, the Elective Communication Service is to be provided;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Target Response Time within which the Elective Communication Service is to be provided.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Code Administrator shall arrange for the publication on the Website of the details provided to it pursuant to Section H7.19. The Code Administrator shall monitor and report to the Panel on whether the DCC has provided details pursuant to Section H7.18 in respect of Elective Communication Services of which the Code Administrator is notified under Section H7.18.</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DCC’s obligations under Section H7.19, the existence and contents of each Bilateral Agreement shall constitute Confidential Information which the DCC is obliged to keep confidential in accordance with Section M4 (Confidentiality).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SERVICE MANAGEMENT, SELF-SERVICE INTERFACE AND SERVICE DESK</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Services in a manner that is consistent with: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Service Management Standards;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methodology for service management identified by the DCC as being more cost efficient than the Service Management Standards, and which has been approved by the Panel for such purpose.</w:t>
      </w:r>
    </w:p>
    <w:p>
      <w:pPr>
        <w:pStyle w:val="Heading3"/>
        <w:spacing/>
        <w:ind w:left="600"/>
        <w:contextualSpacing w:val="false"/>
        <w:rPr>
          <w:rFonts w:ascii="Expert Sans" w:hAnsi="Expert Sans" w:cs="Expert Sans"/>
          <w:b/>
          <w:color w:val="000000"/>
          <w:sz w:val="21"/>
          <w:u w:color="000000"/>
        </w:rPr>
      </w:pPr>
      <w:r>
        <w:t xml:space="preserve">Maintenance of the DCC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(insofar as is reasonably practicable) undertake Maintenance of the DCC Systems in such a way as to avoid any disruption to the provision of the Services (or any part of them).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generality of Section H8.2, the DCC shall (unless the Panel agrees otherwise and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categorise Planned Maintenance changes into Low Impact Planned Maintenance or High Impact Planned Maintenance;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Planned Maintenance of the DCC Systems only between 20.00 hours and 08.00 hours;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limit High Impact Planned Maintenance of the DCC Systems generally to two windows which have a maximum total duration of six hours per month; and</w:t>
      </w:r>
    </w:p>
    <w:p>
      <w:pPr>
        <w:pStyle w:val="Normal"/>
        <w:numPr>
          <w:ilvl w:val="3"/>
          <w:numId w:val="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limit Low Impact Planned Maintenance of the DCC Systems generally (including of the Self-Service Interface) to six windows per month of no more than six hours each.</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At least 20 Working Days prior to the start of each month, the DCC shall make available to Parties, to Registration Data Providers and to the Panel a schedule of the Planned Maintenance for that month (subject to any contrary provisions in the SEC Subsidiary Documents applying in relation to the SMETS1 SM WAN and/or the Systems of the SMETS1 Service Providers). Such schedule shall set out (as a minimum) the following: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proposed Maintenance activity (in reasonable detail, including by reference to which Regions are affected);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parts of the Services that will be disrupted (or in respect of which there is a Material Risk of disruption) during each such Maintenance activity;</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time and duration of each such Maintenance activity;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associated risk that may subsequently affect the return of normal Services.</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Where an additional Planned Maintenance is required beyond that set out pursuant to Section H8.4, the DCC shall revise and reissue the schedule of Planned Maintenance:</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at least 10 Working Days in advance of any additional Low Impact Planned Maintenance;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at least 20 Working Days in advance of any additional High Impact Planned Maintenance.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Panel may (whether or not at the request of a Party and subject to any contrary provisions in the SEC Subsidiary Documents applying in relation to the SMETS1 SM WAN and/or the Systems of the SMETS1 Service Providers) request that the DCC reschedules any Planned Maintenance set out in a monthly schedule provided pursuant to Section H8.4. In making any such request, the Panel shall provide the reasons for such request to the DCC in support of the request. The DCC will take all reasonable steps to accommodate any such request.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As soon as reasonably practicable after the DCC becomes aware of any Unplanned Maintenance, the DCC shall notify the Panel, Parties and (insofar as they are likely to be affected by such Unplanned Maintenance) Registration Data Providers of such Unplanned Maintenance (and shall provide information equivalent to that provided in respect of Planned Maintenance pursuant to Section H8.4).</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During the period of any Planned Maintenance or Unplanned Maintenance, the DCC shall provide Parties and (insofar as they are likely to be affected by such maintenance) Registration Data Providers with details of its duration and the expected disruption to Services to the extent they differ from the information previously provided.</w:t>
      </w:r>
    </w:p>
    <w:p>
      <w:pPr>
        <w:pStyle w:val="Heading3"/>
        <w:spacing/>
        <w:ind w:left="600"/>
        <w:contextualSpacing w:val="false"/>
        <w:rPr>
          <w:rFonts w:ascii="Expert Sans" w:hAnsi="Expert Sans" w:cs="Expert Sans"/>
          <w:b/>
          <w:color w:val="000000"/>
          <w:sz w:val="21"/>
          <w:u w:color="000000"/>
        </w:rPr>
      </w:pPr>
      <w:r>
        <w:t xml:space="preserve">DCC Internal System Changes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Where the DCC is proposing to make a change to DCC Internal Systems, the DCC shall:</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undertake an assessment of the likely impact on:</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Parties in respect of any potential disruption to Services; and/or</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RDPs in relation to the receipt of data pursuant to Section E (Registration Data),</w:t>
      </w:r>
    </w:p>
    <w:p>
      <w:pPr>
        <w:pStyle w:val="Normal"/>
        <w:spacing/>
        <w:ind w:left="900"/>
        <w:contextualSpacing w:val="false"/>
        <w:rPr>
          <w:rFonts w:ascii="Expert Sans" w:hAnsi="Expert Sans" w:cs="Expert Sans"/>
          <w:color w:val="000000"/>
          <w:sz w:val="19"/>
          <w:u w:color="000000"/>
        </w:rPr>
      </w:pPr>
      <w:r>
        <w:t xml:space="preserve">that may arise as a consequence of the Maintenance required to implement the contemplated change;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where such assessment identifies that there is a Material Risk of disruption to Parties and/or RDPs, consult with Parties and/or RDPs (as applicable) and with the Panel regarding such risk;</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provide the Parties and RDPs the opportunity to be involved in any testing of the change to the DCC Internal Systems prior to its implementation;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undertake an assessment of the likely impact of the contemplated change upon the security of the DCC Total System, Smart Metering Systems, and the Systems of Parties and/or RDPs.</w:t>
      </w:r>
    </w:p>
    <w:p>
      <w:pPr>
        <w:pStyle w:val="Heading3"/>
        <w:spacing/>
        <w:ind w:left="600"/>
        <w:contextualSpacing w:val="false"/>
        <w:rPr>
          <w:rFonts w:ascii="Expert Sans" w:hAnsi="Expert Sans" w:cs="Expert Sans"/>
          <w:b/>
          <w:color w:val="000000"/>
          <w:sz w:val="21"/>
          <w:u w:color="000000"/>
        </w:rPr>
      </w:pPr>
      <w:r>
        <w:t xml:space="preserve">Release Management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ensure that it plans, schedules and controls the building, testing and deployment of releases of IT updates, procedures and processes in respect of the DCC Internal Systems and/or the Parse and Correlate Software in accordance with a policy for Release Management (the “</w:t>
      </w:r>
      <w:r>
        <w:rPr>
          <w:b/>
        </w:rPr>
        <w:t xml:space="preserve">DCC Release Management Policy</w:t>
      </w:r>
      <w:r>
        <w:t xml:space="preserv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ensure that the DCC Release Management Policy:</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the scope of the matters that are to be subject to the policy in a manner consistent with the Service Management Standards;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includes a mechanism for setting priorities for different types of such matters;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periods of change-freeze where no such matters may be implemented;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periods of notice to be given to Parties and RDPs prior to the implementation of such matters.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make the DCC Release Management Policy available to Parties, RDPs and the Panel. The DCC shall consult with Parties, RDPs and the Panel before making any changes to the DCC Release Management Policy.</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DCC’s obligation under Section H8.11 is in addition to its obligations in respect of Planned Maintenance and changes to DCC Internal Systems to the extent that the activity in question involves Planned Maintenance or changes to DCC Internal Systems.</w:t>
      </w:r>
    </w:p>
    <w:p>
      <w:pPr>
        <w:pStyle w:val="Heading3"/>
        <w:spacing/>
        <w:ind w:left="600"/>
        <w:contextualSpacing w:val="false"/>
        <w:rPr>
          <w:rFonts w:ascii="Expert Sans" w:hAnsi="Expert Sans" w:cs="Expert Sans"/>
          <w:b/>
          <w:color w:val="000000"/>
          <w:sz w:val="21"/>
          <w:u w:color="000000"/>
        </w:rPr>
      </w:pPr>
      <w:r>
        <w:t xml:space="preserve">Self-Service Interface and Service Desk: General</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Each User shall take reasonable steps to access the information it needs, and to seek to resolve any queries it may have, via the Self-Service Interface in the first instance. A User shall only contact the Service Desk where it cannot reasonably obtain the information it needs, or resolve its query, via the Self-Service Interface.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 Party that is not a User will be unable to access the Self-Service Interface, but may contact the Service Desk.</w:t>
      </w:r>
    </w:p>
    <w:p>
      <w:pPr>
        <w:pStyle w:val="Heading3"/>
        <w:spacing/>
        <w:ind w:left="600"/>
        <w:contextualSpacing w:val="false"/>
        <w:rPr>
          <w:rFonts w:ascii="Expert Sans" w:hAnsi="Expert Sans" w:cs="Expert Sans"/>
          <w:b/>
          <w:color w:val="000000"/>
          <w:sz w:val="21"/>
          <w:u w:color="000000"/>
        </w:rPr>
      </w:pPr>
      <w:r>
        <w:t xml:space="preserve">Self-Service Interface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maintain and keep up-to-date an interface (the </w:t>
      </w:r>
      <w:r>
        <w:rPr>
          <w:b/>
        </w:rPr>
        <w:t xml:space="preserve">Self-Service Interface</w:t>
      </w:r>
      <w:r>
        <w:t xml:space="preserve">) which:</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complies with the specification required by the Self-Service Interface Access Control Specification and the SSI Baseline Requirements Document;</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is made available to Users in accordance with the Self-Service Interface Code of Connection via DCC Gateway Connections;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allows each User to access the information described in Section H8.16 as being accessible to that User (and also allows other Users to access that information to the extent permitted by the first User in accordance with the Self-Service Interface Access Control Specification).</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Any changes to the Self-Service Interface shall be processed by the DCC in accordance with the</w:t>
      </w:r>
      <w:r>
        <w:rPr>
          <w:b/>
        </w:rPr>
        <w:t xml:space="preserve"> “SSI Change Governance Process”</w:t>
      </w:r>
      <w:r>
        <w:t xml:space="preserve">. Any changes to the SSI Change Governance Process shall be prepared and consulted upon by the DCC and approved by the Panel.</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Self-Service Interface must (as a minimum) allow the following categories of User to access the following:</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Smart Metering Inventory, which shall be available to all Users and capable of being searched by reference to the following (provided that there is no requirement for the DCC to provide information held on the inventory in respect of Type 2 Devices other than IHDs):</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Device ID, in which case the User should be able to extract all information held in the inventory in relation to (I) that Device, (II) any other Device Associated with the first Device, (III) any Device Associated with any other such Device; and (IV) any Device with which any of the Devices in (I), (II) or (III) is Associated;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MPAN or MPRN, in which case the User should be able to extract all information held in the inventory in relation to the Smart Meter to which that MPAN or MPRN relates, or in relation to any Device Associated with that Smart Meter or with which it is Associated;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post code and premises number or name, in which case the User should be able to extract all information held in the inventory in relation to the Smart Meters for the MPAN(s) and/or MPRN linked to that postcode and premises number or name, or in relation to any Device Associated with those Smart Meters or with which they are Associated;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UPRN (where this has been provided as part of the Registration Data), in which case the User should be able to extract all information held in the inventory in relation to the Smart Meters for the MPAN(s) and/or MPRN linked by that UPRN, or in relation to any Device Associated with those Smart Meters or with which they are Associated;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record of the Service Requests, Signed Pre-Commands, Acknowledgements, Pre-Commands, Service Responses and Alerts sent in respect of each Smart Metering System (during a period of no less than three months prior to any date on which that record is accessed), which shall be available only to the Responsible Supplier for that Smart Metering System and to the Gas Transporter or Electricity Distributor (as applicable) for that Smart Metering System;</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Incident Management Log, for which the ability of Users to view and/or amend data shall be as described in Section H9.4 (Incident Management Log);</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CH Order Management System, which shall be available to all Users;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 and all information in respect of the SMETS1 SM WAN as the DCC is required to make available under the Self-Service Interface Access Control Specification and the SSI Baseline Requirements Document, which shall be made available to all Users; and the following information in respect of the SMETS2+ SM WAN, which shall be available to all Users (and which shall be capable of interrogation by post code and postal outcode):</w:t>
      </w:r>
    </w:p>
    <w:p>
      <w:pPr>
        <w:pStyle w:val="Normal"/>
        <w:numPr>
          <w:ilvl w:val="4"/>
          <w:numId w:val="32"/>
        </w:numPr>
        <w:spacing w:after="0" w:afterLines="0"/>
        <w:ind w:left="1900" w:hanging="700"/>
        <w:contextualSpacing w:val="false"/>
        <w:rPr>
          <w:rFonts w:ascii="Expert Sans" w:hAnsi="Expert Sans" w:cs="Expert Sans"/>
          <w:color w:val="000000"/>
          <w:sz w:val="19"/>
          <w:u w:color="000000"/>
        </w:rPr>
      </w:pPr>
      <w:r>
        <w:t xml:space="preserve">whether a Communications Hub Function installed in a premises at any given location (distinguishing by Communications Technology, where more than one Communications Technology is utilised in a Geographical Region):</w:t>
      </w:r>
    </w:p>
    <w:p>
      <w:pPr>
        <w:pStyle w:val="Normal"/>
        <w:spacing w:before="0" w:beforeLines="0" w:after="0" w:afterLines="0"/>
        <w:ind w:left="1900"/>
        <w:contextualSpacing w:val="false"/>
        <w:rPr>
          <w:rFonts w:ascii="Expert Sans" w:hAnsi="Expert Sans" w:cs="Expert Sans"/>
          <w:color w:val="000000"/>
          <w:sz w:val="19"/>
          <w:u w:color="000000"/>
        </w:rPr>
      </w:pPr>
      <w:r>
        <w:t xml:space="preserve">(A) </w:t>
      </w:r>
      <w:r>
        <w:rPr>
          <w:color w:val="0D0D0D"/>
          <w:u w:color="0D0D0D"/>
        </w:rPr>
        <w:t xml:space="preserve">is expected to be able to connect to the SM WAN; </w:t>
      </w:r>
    </w:p>
    <w:p>
      <w:pPr>
        <w:pStyle w:val="Normal"/>
        <w:spacing w:before="0" w:beforeLines="0" w:after="0" w:afterLines="0"/>
        <w:ind w:left="1900"/>
        <w:contextualSpacing w:val="false"/>
        <w:rPr>
          <w:rFonts w:ascii="Expert Sans" w:hAnsi="Expert Sans" w:cs="Expert Sans"/>
          <w:color w:val="000000"/>
          <w:sz w:val="19"/>
          <w:u w:color="000000"/>
        </w:rPr>
      </w:pPr>
      <w:r>
        <w:rPr>
          <w:color w:val="0D0D0D"/>
          <w:u w:color="0D0D0D"/>
        </w:rPr>
        <w:t xml:space="preserve">(B) is expected to be able to connect to the SM WAN from a particular date, in which case the date shall be specified; or </w:t>
      </w:r>
    </w:p>
    <w:p>
      <w:pPr>
        <w:pStyle w:val="Normal"/>
        <w:spacing w:before="0" w:beforeLines="0"/>
        <w:ind w:left="1900"/>
        <w:contextualSpacing w:val="false"/>
        <w:rPr>
          <w:rFonts w:ascii="Expert Sans" w:hAnsi="Expert Sans" w:cs="Expert Sans"/>
          <w:color w:val="000000"/>
          <w:sz w:val="19"/>
          <w:u w:color="000000"/>
        </w:rPr>
      </w:pPr>
      <w:r>
        <w:rPr>
          <w:color w:val="0D0D0D"/>
          <w:u w:color="0D0D0D"/>
        </w:rPr>
        <w:t xml:space="preserve">(C) cannot be confirmed as being able to connect to the SM WAN;</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any known issues giving rise to poor connectivity at any given location (and any information regarding their likely resolution);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any requirement to use a particular WAN Variant (and, where applicable, in combination with any particular Communications Hub Auxiliary Equipment) for any given location in order that the Communications Hub will be able to establish a connection to the SM WAN;</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additional information made available by the DCC to assist with the use of the Services and diagnosis of problems, such as service status (including information in respect of Planned Maintenance and Unplanned Maintenance) and frequently asked questions (and the responses to such questions), which shall be available to all Users; </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where a User's Smart Metering Inventory search results in the provision of information relating to a Communications Hub Function, the following information shall be made available to the User: (i) whether or not there is a Virtual WAN Device connected to the Communications Hub Function; and (ii) if so, whether the Communications Hub Function is using the SM WAN or the Virtual WAN Interface to communicate with the DCC;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anything else expressly required by a provision of this Code.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Without prejudice to the requirements of Sections H8.16(b), to the extent that the Self-Service Interface does not allow a User to access a record of the information referred to in those Sections in respect of the preceding 7 years, then:</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that User shall be entitled to request such information from the DCC;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DCC shall provide such information to that User as soon as reasonably practicable following such request.</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the Self-Service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Service Desk</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a team of its representatives (the </w:t>
      </w:r>
      <w:r>
        <w:rPr>
          <w:b/>
        </w:rPr>
        <w:t xml:space="preserve">Service Desk</w:t>
      </w:r>
      <w:r>
        <w:t xml:space="preserve">) is available to be contacted as follows: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shall be contactable via the following means (to be used by Parties and Registration Data Providers, to the extent available to them, in the following order of preference, save as otherwise provided for in the Incident Management Policy):</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Self-Service Interface;</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 dedicated email address published on the DCC Website;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 dedicated telephone number published on the DCC Website;</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can be used by Parties to seek resolution of queries relating to the Services (provided that Users shall seek resolution via the Self-Service Interface in the first instance);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can be used by Incident Parties that are not Users to raise Incidents (or by Users, where the Incident Management Log is not available via the Self-Service Interface, to raise or provide information in respect of Incidents), which the DCC shall then reflect in the Incident Management Log.</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the Service Desk is available at all times, and shall provide alternative arrangements (a different telephone number and email address) where the usual Service Desk in not available. Where a different telephone number and email address is to be used, the DCC shall publish details of the alternative number and address at least 20 Working Days in advance.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INCIDENT MANAGEMENT</w:t>
      </w:r>
    </w:p>
    <w:p>
      <w:pPr>
        <w:pStyle w:val="Normal"/>
        <w:spacing/>
        <w:ind w:left="600"/>
        <w:contextualSpacing w:val="false"/>
        <w:rPr>
          <w:rFonts w:ascii="Expert Sans" w:hAnsi="Expert Sans" w:cs="Expert Sans"/>
          <w:color w:val="000000"/>
          <w:sz w:val="19"/>
          <w:u w:color="000000"/>
        </w:rPr>
      </w:pPr>
      <w:r>
        <w:rPr>
          <w:b/>
        </w:rPr>
        <w:t xml:space="preserve">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(as a minimum) make provision for the following matters: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raising an Incident by recording it in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categorisation of Incidents into 5 categories of severity (“</w:t>
      </w:r>
      <w:r>
        <w:rPr>
          <w:b/>
        </w:rPr>
        <w:t xml:space="preserve">Incident Category 1, 2, 3, 4 and 5</w:t>
      </w:r>
      <w:r>
        <w:t xml:space="preserve">” respectively, such that Incident Category 1 is the most severe and Incident Category 5 the least);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prioritisation of Incidents, and (in those cases where the DCC is responsible for resolving an Incident) the time period within which an Incident in each Incident Category should be resolved (the “</w:t>
      </w:r>
      <w:r>
        <w:rPr>
          <w:b/>
        </w:rPr>
        <w:t xml:space="preserve">Target Resolution Time</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prioritising and timescale for closure of Problems;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allocation of responsibility for Incidents and Problems in accordance with Section H9.2;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identification of other interested persons who are to be kept informed regarding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courses of action to be undertaken in seeking to resolve Incidents and close Problems, including the need to update the Incident Management Log to record activity carried out (or planned to be carried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escalation of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declaration of a Major Incident, and for the appointment of managers to coordinate resolution of Major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closure of a resolved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opening and closing Problem records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reopening closed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describe the roles and responsibilities of the following persons in respect of different types of Incident: Users, Eligible Subscribers, DCC Gateway Parties and Registration Data Providers (such persons being the "Incident Parties").</w:t>
      </w:r>
    </w:p>
    <w:p>
      <w:pPr>
        <w:pStyle w:val="Heading3"/>
        <w:spacing/>
        <w:ind w:left="600"/>
        <w:contextualSpacing w:val="false"/>
        <w:rPr>
          <w:rFonts w:ascii="Expert Sans" w:hAnsi="Expert Sans" w:cs="Expert Sans"/>
          <w:b/>
          <w:color w:val="000000"/>
          <w:sz w:val="21"/>
          <w:u w:color="000000"/>
        </w:rPr>
      </w:pPr>
      <w:r>
        <w:t xml:space="preserve">Incident and Problem Management Responsibility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allocate responsibility for resolution of Incidents and closure of Problems in accordance with the following principles: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such Incident is reasonably capable of being resolved via the Self- Service Interface or via a Service Request which that Incident Party has the right to send, that Incident Party shall exercise such rights with a view to resolving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CH Support Materials are relevant to the Incident and require the Incident Party to take any steps prior to raising an Incident, that Incident Party shall take such steps with a view to resolving the Incident;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Incident Party is a Supplier Party and it is already at the premises when it first becomes aware of the Incident, and to the extent the Incident is either: (A) caused by a SMETS1 CH for which the Incident Party is the Lead Supplier; or (B) caused by a SMETS2+ Communications Hub and not capable of being resolved via communications over the SM WAN, then (in either case) that Incident Party shall be responsible for resolving that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DCC shall be responsible for resolving Incidents and closing Problems to the extent they are caused by: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Systems;</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Parse and Correlate Software;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 SMETS2+ Communications Hub, and are capable of being resolved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Lead Supplier for a Communications Hub shall be responsible for resolving Incidents and closing Problems to the extent they are caused by that Communications Hub where either: (A) it is a SMETS1 CH; or (B) the Incident or Problem is not capable of being resolved or closed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Responsible Supplier for a Smart Metering System shall be responsible for resolving Incidents and closing Problems to the extent caused by Devices (other than the Communications Hub) forming part of that Smart Metering System;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arising in respect of the exchange of Data under Section E (Registration Data):</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Registration Data Provider shall be responsible for resolving those Incidents arising on its side of the Registration Data Interface;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shall be responsible for resolving all other such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other than those referred to elsewhere in this Section H9.2, the Incident Party assigned responsibility in accordance with the Incident Management Policy shall be responsible for resolving the Incident.</w:t>
      </w:r>
    </w:p>
    <w:p>
      <w:pPr>
        <w:pStyle w:val="Heading3"/>
        <w:spacing/>
        <w:ind w:left="600"/>
        <w:contextualSpacing w:val="false"/>
        <w:rPr>
          <w:rFonts w:ascii="Expert Sans" w:hAnsi="Expert Sans" w:cs="Expert Sans"/>
          <w:b/>
          <w:color w:val="000000"/>
          <w:sz w:val="21"/>
          <w:u w:color="000000"/>
        </w:rPr>
      </w:pPr>
      <w:r>
        <w:t xml:space="preserve">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and keep up-to-date an electronic log (the </w:t>
      </w:r>
      <w:r>
        <w:rPr>
          <w:b/>
        </w:rPr>
        <w:t xml:space="preserve">Incident Management Log</w:t>
      </w:r>
      <w:r>
        <w:t xml:space="preserve">) that records the following in respect of each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unique reference number (to be allocated to each Incident that is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and time that the Incident was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of the Incident and the location at which it occurred;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Incident was identified by the DCC, or otherwise the person that reported the Incident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categorisation of the Incident in accordance with the Incident Management Policy;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person to whom the Incident has been allocated for resolution;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course of action to be taken, or taken, to resolve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Good Industry Practice assessment of which Incident Parties and/or Services are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details of any communications with Incident Parties in respect of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comments regarding any mitigating circumstances regarding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Incident on the DCC’s ability to meet the Target Service Levels;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current status of the Incident, and (once applicable) the date and time that the Incident was closed;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reference to any related Problem logged.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following shall apply in respect of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Users with the ability to view and amend the Incident Management Log via the Self Service Interface;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Incident Parties that are not Users with the ability to obtain information from, and report information which the DCC shall then add to, the Incident Management Log via the Service Desk;</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view or obtain information from the Incident Management Log in respect of an Incident:</w:t>
      </w:r>
    </w:p>
    <w:p>
      <w:pPr>
        <w:pStyle w:val="Normal"/>
        <w:numPr>
          <w:ilvl w:val="4"/>
          <w:numId w:val="8"/>
        </w:numPr>
        <w:spacing w:after="0" w:afterLines="0"/>
        <w:ind w:left="1900" w:hanging="700"/>
        <w:contextualSpacing w:val="false"/>
        <w:rPr>
          <w:rFonts w:ascii="Expert Sans" w:hAnsi="Expert Sans" w:cs="Expert Sans"/>
          <w:color w:val="000000"/>
          <w:sz w:val="19"/>
          <w:u w:color="000000"/>
        </w:rPr>
      </w:pPr>
      <w:r>
        <w:t xml:space="preserve">the Incident Party that raised the Incident;</w:t>
      </w:r>
    </w:p>
    <w:p>
      <w:pPr>
        <w:pStyle w:val="Normal"/>
        <w:spacing w:before="0" w:beforeLines="0"/>
        <w:ind w:left="1900"/>
        <w:contextualSpacing w:val="false"/>
        <w:rPr>
          <w:rFonts w:ascii="Expert Sans" w:hAnsi="Expert Sans" w:cs="Expert Sans"/>
          <w:color w:val="000000"/>
          <w:sz w:val="19"/>
          <w:u w:color="000000"/>
        </w:rPr>
      </w:pPr>
      <w:r>
        <w:t xml:space="preserve"/>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Responsible Supplier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Electricity Distributor or Gas Transporter (as applicable)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DCC Gateway Party for, and any Party notified to the DCC in accordance with Section H15.17 (Use of a DCC Gateway Connection) as entitled to use, a DCC Gateway Connection shall be able to view matters relating to any Incident affecting that DCC Gateway Connection;</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Registration Data Providers entitled to use a DCC Gateway Connection as provided for in Section E3 (DCC Gateway Connections for Registration Data Providers) shall be able to view matters relating to any Incident affecting that DCC Gateway Connection; and</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any other Incident Party that is reasonably likely to be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amend and report information to be added to the Incident Management Log:</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raised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34"/>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 (but such amending and reporting shall be limited to matters relating to the Communications Hub Function); and</w:t>
      </w:r>
    </w:p>
    <w:p>
      <w:pPr>
        <w:pStyle w:val="Normal"/>
        <w:numPr>
          <w:ilvl w:val="5"/>
          <w:numId w:val="34"/>
        </w:numPr>
        <w:spacing/>
        <w:ind w:left="2200" w:hanging="700"/>
        <w:contextualSpacing w:val="false"/>
        <w:rPr>
          <w:rFonts w:ascii="Expert Sans" w:hAnsi="Expert Sans" w:cs="Expert Sans"/>
          <w:color w:val="000000"/>
          <w:sz w:val="19"/>
          <w:u w:color="000000"/>
        </w:rPr>
      </w:pPr>
      <w:r>
        <w:t xml:space="preserve">the Responsible Supplier(s) for each Smart Metering System that is affected by the Incident (but such amending and reporting shall exclude matters relating to the Communications Hub Function);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to the extent that an Incident Party does not have the necessary rights in accordance with paragraph (d) above to amend the Incident Management Log, an Incident Party shall report the matter to the DCC, which shall then amend the Incident Management Log to reflect such matters.</w:t>
      </w:r>
    </w:p>
    <w:p>
      <w:pPr>
        <w:pStyle w:val="Heading3"/>
        <w:spacing/>
        <w:ind w:left="600"/>
        <w:contextualSpacing w:val="false"/>
        <w:rPr>
          <w:rFonts w:ascii="Expert Sans" w:hAnsi="Expert Sans" w:cs="Expert Sans"/>
          <w:b/>
          <w:color w:val="000000"/>
          <w:sz w:val="21"/>
          <w:u w:color="000000"/>
        </w:rPr>
      </w:pPr>
      <w:r>
        <w:t xml:space="preserve">Access to data regarding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refers to a Problem, the DCC or any Incident Party may request that the person assigned responsibility for the Problem supplies to the DCC or Incident Party making the request reasonable information regarding the Problem, provided that information in respect of any other Incident shall only be supplied to an Incident Party where that Incident Party would be allowed access to that information in accordance with Section H9.4.</w:t>
      </w:r>
    </w:p>
    <w:p>
      <w:pPr>
        <w:pStyle w:val="Heading3"/>
        <w:spacing/>
        <w:ind w:left="600"/>
        <w:contextualSpacing w:val="false"/>
        <w:rPr>
          <w:rFonts w:ascii="Expert Sans" w:hAnsi="Expert Sans" w:cs="Expert Sans"/>
          <w:b/>
          <w:color w:val="000000"/>
          <w:sz w:val="21"/>
          <w:u w:color="000000"/>
        </w:rPr>
      </w:pPr>
      <w:r>
        <w:t xml:space="preserve">Addition of Incidents to the 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Incident Party is a User) to the extent such Incident is reasonably capable of being resolved via the Self-Service Interface or via a Service Request which that User has the right to send, then the User shall exercise such rights with a view to resolving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paragraph (a) above does not apply (or to the extent the Incident is not resolved despite compliance with paragraph (a) above), then the Incident Party shall add the Incident to the Incident Management Log (or, if incorrectly logged as closed, reopen the Incident) via the Self-Service Interface (or, in the case of non-Users, the Service Desk).</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an Incident that is not yet logged on the Incident Management Log (or, if logged, is incorrectly logged as closed), then the DCC shall add the Incident to the Incident Management Log (or, if incorrectly logged as closed, reopen the Incident).</w:t>
      </w:r>
    </w:p>
    <w:p>
      <w:pPr>
        <w:pStyle w:val="Heading3"/>
        <w:spacing/>
        <w:ind w:left="600"/>
        <w:contextualSpacing w:val="false"/>
        <w:rPr>
          <w:rFonts w:ascii="Expert Sans" w:hAnsi="Expert Sans" w:cs="Expert Sans"/>
          <w:b/>
          <w:color w:val="000000"/>
          <w:sz w:val="21"/>
          <w:u w:color="000000"/>
        </w:rPr>
      </w:pPr>
      <w:r>
        <w:t xml:space="preserve">Resolving Incidents and Closing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has been added to the Incident Management Log (or reopened) pursuant to Section H9.6 or H9.7, then (until such time as that Incident is closed) the DCC and each relevant Incident Party shall each take all the steps allocated to them under and in accordance with the Incident Management Policy in respect of an Incident of the relevant type, so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an Incident Party is responsible, resolve the Incident as soon as reasonably practicable;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the DCC is responsible, resolve the Incident in accordance with the applicable Target Resolution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Problem has been assigned to the DCC or an Incident Party, then (until such time as that Problem is closed) the DCC and each relevant Incident Party shall each take all the steps allocated to it under and in accordance with the Incident Management Policy so as to close the Problem in accordance with priority for resolution and closure set out in the Incident Management Policy.</w:t>
      </w:r>
    </w:p>
    <w:p>
      <w:pPr>
        <w:pStyle w:val="Heading3"/>
        <w:spacing/>
        <w:ind w:left="600"/>
        <w:contextualSpacing w:val="false"/>
        <w:rPr>
          <w:rFonts w:ascii="Expert Sans" w:hAnsi="Expert Sans" w:cs="Expert Sans"/>
          <w:b/>
          <w:color w:val="000000"/>
          <w:sz w:val="21"/>
          <w:u w:color="000000"/>
        </w:rPr>
      </w:pPr>
      <w:r>
        <w:t xml:space="preserve">Major Incident Notification and Reports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is identified as responsible for resolution of an Incident, and where that Incident Party considers (or should reasonably have considered) that the Incident constitutes a Major Incident, then such Incident Party shall notify the DCC of such fact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 Major Incident, the DCC shall notify all Incident Parties that are likely to be affected by such Major Incident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of a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that Incident, each Incident Party shall provide the DCC with all reasonable assistance as the DCC may request;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is responsible for resolving that Incident, the DCC and all other Incident Parties shall provide all reasonable assistance to the Incident Party responsible for resolving that Incident as such Incident Party may request,</w:t>
      </w:r>
    </w:p>
    <w:p>
      <w:pPr>
        <w:pStyle w:val="Normal"/>
        <w:spacing/>
        <w:ind w:left="600"/>
        <w:contextualSpacing w:val="false"/>
        <w:rPr>
          <w:rFonts w:ascii="Expert Sans" w:hAnsi="Expert Sans" w:cs="Expert Sans"/>
          <w:color w:val="000000"/>
          <w:sz w:val="19"/>
          <w:u w:color="000000"/>
        </w:rPr>
      </w:pPr>
      <w:r>
        <w:t xml:space="preserve">(in each case) in relation to the resolution of that Incident, including as set out in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two Working Days following resolution of a Major Incident, the DCC or the Incident Party responsible for resolving that Major Incident shall (subject to any contrary provisions in the SEC Subsidiary Documents applying in relation to the SMETS1 SM WAN and/or the Systems of the SMETS1 Service Providers) provide a summary report to the Panel in respect of that Major Incident. Such summary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cause and impact (and likely future impact) of the Major Incident (including, where the DCC is responsible for resolving the Major Incident, details of the impact the Major Incident had on provision of the Services and over what period, and details of any Data that may have been lost);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action taken in the resolution of the Major Incident.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20 Working Days following resolution of a Major Incident, the DCC or Incident Party responsible for resolving that Major Incident shall (subject to any contrary provisions in the SEC Subsidiary Documents applying in relation to the SMETS1 SM WAN and/or the Systems of the SMETS1 Service Providers) conduct a review regarding that Major Incident and its resolution, and shall report to the Panel and the Authority (and, on request, the Secretary of State) on the outcome of such review. Such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copy of the summary report produced in respect of the Major Incident pursuant to Section H9.13;</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any Services which were not restored within the Target Resolution Time for the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where any Services were not restored within the Target Resolution Time, the reason why this was the case and the steps the DCC is taking to prevent the re-occurrence of such an event;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review of the response to the Major Incident and its effectiveness;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failures by Incident Parties to comply with their obligations under Energy Licences and/or this Code that caused or contributed to the Major Incident or its consequences;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whether there is likely to be a reduction (and, to the extent reasonably capable of being determined at that time, the amount of the anticipated reduction) in the DCC’s External Costs (as defined in the DCC Licence) arising as a consequence of the DCC Service Providers failing to achieve a restoration of any Services within the Target Resolution Time;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Modifications that could be made to this Code to mitigate against future Incidents and/or their consequences.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shall make each report produced by the DCC pursuant to Section H9.14 available to the other Parties, subject to any redactions it considers necessary to avoid a risk of Compromise to the DCC Total System, User Systems, RDP Systems and/or Devices.</w:t>
      </w:r>
    </w:p>
    <w:p>
      <w:pPr>
        <w:pStyle w:val="Normal"/>
        <w:spacing/>
        <w:ind w:left="600"/>
        <w:contextualSpacing w:val="false"/>
        <w:rPr>
          <w:rFonts w:ascii="Expert Sans" w:hAnsi="Expert Sans" w:cs="Expert Sans"/>
          <w:color w:val="000000"/>
          <w:sz w:val="19"/>
          <w:u w:color="000000"/>
        </w:rPr>
      </w:pPr>
      <w:r>
        <w:rPr>
          <w:b/>
        </w:rPr>
        <w:t xml:space="preserve">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 Where Disputes arise between the Incident Parties regarding whether or not the DCC and/or an Incident Party has complied with its obligations under this Section H9, then such Dispute shall be subject to determination by the Panel (which determination shall be final and binding).</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BUSINESS CONTINUITY</w:t>
      </w:r>
    </w:p>
    <w:p>
      <w:pPr>
        <w:pStyle w:val="Heading3"/>
        <w:spacing/>
        <w:ind w:left="600"/>
        <w:contextualSpacing w:val="false"/>
        <w:rPr>
          <w:rFonts w:ascii="Expert Sans" w:hAnsi="Expert Sans" w:cs="Expert Sans"/>
          <w:b/>
          <w:color w:val="000000"/>
          <w:sz w:val="21"/>
          <w:u w:color="000000"/>
        </w:rPr>
      </w:pPr>
      <w:r>
        <w:t xml:space="preserve">Emergency Suspension of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H10.2 applies in respect of any Party or RDP which has an established DCC Gateway Connection where, by virtue of the action or failure to act of that Party or RDP, or of any event occurring on or in relation to the Systems of that Party or RDP:</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Systems are being Compromised to a significant extent;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reason to believe that there is an immediate threat of the DCC Systems being Compromised to a significant extent.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this Section H10.2 applies, the DCC may, to the extent that it is necessary to do so in order to avoid or mitigate the potential impact of any Compromise to the DCC Systems, temporarily suspend: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 Party whose actions or Systems are giving rise to the actual or threatened Compromise: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provision (in whole or in part) of the Services to that Party;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rights of that Party to receive (in whole or in part) the Services;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ability of that Party to use any DCC Gateway Connection;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an RDP whose actions or Systems are giving rise to the actual or threatened Compromise, the ability of that RDP to use any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commences any temporary suspension of the provision of Services or rights, or of the ability to use a DCC Gateway Connection in accordance with Section H10.2, it shall promptly (and in any event within 24 hours) notify the Panel of the suspension and the reasons for it, and shall provide the Panel with such information relating to the suspension as may be requested.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Panel receives a notification in accordance with Section H10.3, it shall promptly consider the circumstances of the suspension,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either confirm the suspension, or determine that the suspension is to cease to have effect (in which case the suspended Services, rights or ability to use any DCC Gateway Connection shall be reinstated);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in either case give such directions as it considers appropriate: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DCC in relation to the continuing suspension or the reinstatement of the Services, rights or ability to use any DCC Gateway Connection (as the case may be);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Party or RDP whose Services, rights or ability to use any DCC Gateway Connection were suspended by the DCC,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comply with any direction given to it by the Panel in accordance with Section H10.4, and shall provide such reasonable support and assistance to the Party or RDP whose Services, rights or ability to use any DCC Gateway Connection were suspended by the DCC as that Party or RDP may request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Party shall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RDP shall (when acting in its capacity as the Network Party’s RDP)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or any Party or RDP which is directly affected by a decision of the Panel made pursuant to Section H10.4 disagrees with that decision, it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The Business Continuity and Disaster Recovery Procedure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H10.10, the DCC shall comply with the requirements of the Business Continuity and Disaster Recovery Procedure for the purposes of ensuring so far as reasonably practicable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there is no significant disruption to the provision of any of the Services by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there is any such significant disruption, the provision of those Services is restored as soon as is reasonably practicable.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the case of Disasters, taking a different course of action to following the BCDR Procedure would (in accordance with Good Industry Practice) be a more effective course of action in order to achieve the objectives set out in Section H10.9, then the DCC may take such steps to achieve such objectives (rather than complying with the BCDR Procedure). Where the DCC takes a course of action that does not comply with the BCDR Procedure, the DCC must inform the Panel as soon as possible thereafter of the steps taken and the reasons why the DCC considered that they were more effective.</w:t>
      </w:r>
    </w:p>
    <w:p>
      <w:pPr>
        <w:pStyle w:val="Heading3"/>
        <w:spacing/>
        <w:ind w:left="600"/>
        <w:contextualSpacing w:val="false"/>
        <w:rPr>
          <w:rFonts w:ascii="Expert Sans" w:hAnsi="Expert Sans" w:cs="Expert Sans"/>
          <w:b/>
          <w:color w:val="000000"/>
          <w:sz w:val="21"/>
          <w:u w:color="000000"/>
        </w:rPr>
      </w:pPr>
      <w:r>
        <w:t xml:space="preserve">Business Continuity and Disaster Recovery Tests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time to time, and at least once each year, carry out a Business Continuity and Disaster Recovery Test in order to assess whether the Business Continuity and Disaster Recovery Procedure remains suitable for achieving the objectives described at Section H10.9;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following any such test, report to the Panel and the Authority on the outcome of the test, and on any proposals made by the DCC in relation to the Business Continuity and Disaster Recovery Procedure having regard to that outcome.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shall provide the DCC with any such assistance and co-operation as it may reasonably request for the purpose of carrying out a Business Continuity and Disaster Recovery Test and confirming the operation of the Business Continuity and </w:t>
      </w:r>
      <w:r>
        <w:rPr>
          <w:color w:val="0D0D0D"/>
          <w:u w:color="0D0D0D"/>
        </w:rPr>
        <w:t xml:space="preserve">Disaster Recovery Procedure.</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Before notifying the Parties of each Business Continuity and Disaster Recovery Test, the DCC shall consult with the Parties and the Panel regarding the Business Continuity and Disaster Recovery Test Schedule to ensure that (insofar as is reasonably practicable) the Business Continuity and Disaster Recovery Test is undertaken in such a way as to minimise any disruption to the provision of the Services (or any part of them). The DCC shall complete all necessary consultation prior to notifying Parties.</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The DCC shall notify each Party of its intention to carry out a Business Continuity and Disaster Recovery Test and provide each Party with a Business Continuity and Disaster Recovery Test Schedule at least 60 Working Days before the date on which such test is due to start. Where the DCC needs to amend the Business Continuity and Disaster Recovery Test Schedule following such notification and it is not reasonably practicable to give 60 Working Days' notice, it will provide such notice as far in advance as is reasonably practicable.</w:t>
      </w:r>
    </w:p>
    <w:p>
      <w:pPr>
        <w:pStyle w:val="Heading3"/>
        <w:spacing/>
        <w:ind w:left="600"/>
        <w:contextualSpacing w:val="false"/>
        <w:rPr>
          <w:rFonts w:ascii="Expert Sans" w:hAnsi="Expert Sans" w:cs="Expert Sans"/>
          <w:b/>
          <w:color w:val="000000"/>
          <w:sz w:val="21"/>
          <w:u w:color="000000"/>
        </w:rPr>
      </w:pPr>
      <w:r>
        <w:t xml:space="preserve">Business Continuity and Disaster Recovery Targets</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The DCC shall, on the occurrence of a Disaster (subject to any contrary provisions in the SEC Subsidiary Documents applying in relation to the SMETS1 SM WAN and/or the Systems of the SMETS1 Service Providers):</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take all reasonable steps to ensure that any and all affected Services are restored in accordance with the Target Resolution Time for a Major Incident;</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ensure that all affected Services are restored within eight hours of the occurrence of that Disaster (except in the case of a Disaster that directly affects a DCC Gateway Connection and where: (i) the DCC Gateway Party for that DCC Gateway Connection has not procured a backup DCC Gateway Connection; and (ii) the DCC can reasonably demonstrate that the Services could have been restored within eight hours if the DCC Gateway Party had procured a backup DCC Gateway Connection); and</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ensure in any event that Services are restored such that the loss of Data arising as a consequence of the Disaster is not in excess of that prescribed by the relevant Service Provider Performance Measures. </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PARSE AND CORRELATE SOFTWARE</w:t>
      </w:r>
    </w:p>
    <w:p>
      <w:pPr>
        <w:pStyle w:val="Heading3"/>
        <w:spacing/>
        <w:ind w:left="600"/>
        <w:contextualSpacing w:val="false"/>
        <w:rPr>
          <w:rFonts w:ascii="Expert Sans" w:hAnsi="Expert Sans" w:cs="Expert Sans"/>
          <w:b/>
          <w:color w:val="000000"/>
          <w:sz w:val="21"/>
          <w:u w:color="000000"/>
        </w:rPr>
      </w:pPr>
      <w:r>
        <w:t xml:space="preserve">Provision of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receipt of a request to do so from any person, the DCC shall supply to that person a copy of the most recently released version of computer software (the “</w:t>
      </w:r>
      <w:r>
        <w:rPr>
          <w:b/>
        </w:rPr>
        <w:t xml:space="preserve">Parse and Correlate Software</w:t>
      </w:r>
      <w:r>
        <w:t xml:space="preserve">”)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functionality specified in Section H11.2;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characteristics specified in Section H11.3;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in the format specified in Section H11.4.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functionality specified in this Section H11.2 is that the software must enable any User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convert the relevant content of all Service Responses and Device Alerts (in each case only where generated from a Response or Alert originating from a SMETS2+ Device) into the format that is consistent with that set out in respect of them in the Message Mapping Catalogue;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confirm that the content of any Pre-Command is substantively identical to the content of its associated Critical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characteristics specified in this Section H11.3 are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written using the Java programming language;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capable of operating on the version of the Java Virtual Machine/Run-time Environment prevailing at the time at which the design of that version of the software was finalised.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format specified in this Section H11.4 is that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as both:</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an executable file which includes everything required to enable the software to be installed on the systems of the person to whom it is provided in such a manner as not to have a material adverse effect on the operation of other software deployed within the same system environment;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source software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can be confirmed, on receipt by the person to whom it is provided: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having been provided by the DCC;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Maintenance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maintain the Parse and Correlate Software supplied by it to any person so as to ensure that it at all times continues to have the functionality specified in Section H11.2;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that purpose develop and release to such persons, where it is reasonably necessary from time to time, new versions of the Parse and Correlate Software which shall have the characteristics specified in Section H11.3 and be provided in the format specified in Section H11.4.</w:t>
      </w:r>
    </w:p>
    <w:p>
      <w:pPr>
        <w:pStyle w:val="Heading3"/>
        <w:spacing/>
        <w:ind w:left="600"/>
        <w:contextualSpacing w:val="false"/>
        <w:rPr>
          <w:rFonts w:ascii="Expert Sans" w:hAnsi="Expert Sans" w:cs="Expert Sans"/>
          <w:b/>
          <w:color w:val="000000"/>
          <w:sz w:val="21"/>
          <w:u w:color="000000"/>
        </w:rPr>
      </w:pPr>
      <w:r>
        <w:t xml:space="preserve">Development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When proposing to develop any version of the Parse and Correlate Software, the DCC shall consult with Users, having regard in particular to their views in relation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need for a new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proposed new version of the software on the security of the DCC Total System, User Systems and Smart Metering Systems;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design of the software generally;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required operational performance of the proposed version of the software on a standard system configuration specified by the DCC for the purposes of the consultation.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any consultation with Users, the DCC shall inform all Users of the design of the version of the Parse and Correlate Software that it intends to develop.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Before supplying any version of the Parse and Correlate Software to any person,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that version of the software has been adequately tested for the purpose of ensuring that it satisfies the requirements of Sections H11.2 to H11.4;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suitable opportunities for Acceptance Testing of that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take reasonable steps to ensure that any User who wishes to participate in that Acceptance Testing is able to do so;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the version of the software has been subject to a software code review, by an individual or organisation with the professional competence to carry out such a review, for the purpose of identifying any vulnerabilities in the code that were not intended as a feature of its design.</w:t>
      </w:r>
    </w:p>
    <w:p>
      <w:pPr>
        <w:pStyle w:val="Heading3"/>
        <w:spacing/>
        <w:ind w:left="600"/>
        <w:contextualSpacing w:val="false"/>
        <w:rPr>
          <w:rFonts w:ascii="Expert Sans" w:hAnsi="Expert Sans" w:cs="Expert Sans"/>
          <w:b/>
          <w:color w:val="000000"/>
          <w:sz w:val="21"/>
          <w:u w:color="000000"/>
        </w:rPr>
      </w:pPr>
      <w:r>
        <w:t xml:space="preserve">Provision of Support and Assistance to Users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having consulted with Users, determine two Application Servers in respect of which it will provide support for the executable file referred to in Section H11.4(a)(i).</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User may appeal to the Panel a decision of the DCC made under Section H11.9, in which case: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Panel shall determine the Application Servers in respect of which the DCC must provide support;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determination of the Panel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available to each person to whom any version of the Parse and Correlate Software is provided a copy of an installation guide and release notes relevant to that version.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by any User for the DCC to provide that User with further assistance in relation to its use or implementation of the Parse and Correlate Software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User that this is the case and provide reasonable assistance to the User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reasonable terms upon which the DCC will provide the requested assistance (which terms may not be inconsistent with the provisions of this Code) and the Charges payable in respect of the same;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such terms and to pay such Charges, provide the requested assistance to the User in accordance with such terms.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H11.12 does not apply to the provision of assistance that is the responsibility of the DCC in accordance with the Incident Management Policy. The assistance referred to in Section H11.12 may include in particular assistance in respect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is capable of operating on a version of the Java Virtual Machine/Run-time Environment other than that prevailing at the time at which the design of the most recently released version of the Parse and Correlate Software was finalised;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meets any other User-specific requirements;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provision, in respect of more than two Application Servers, of support for the executable file referred to in Section H11.4(a)(i).</w:t>
      </w:r>
    </w:p>
    <w:p>
      <w:pPr>
        <w:pStyle w:val="Heading3"/>
        <w:spacing/>
        <w:ind w:left="600"/>
        <w:contextualSpacing w:val="false"/>
        <w:rPr>
          <w:rFonts w:ascii="Expert Sans" w:hAnsi="Expert Sans" w:cs="Expert Sans"/>
          <w:b/>
          <w:color w:val="000000"/>
          <w:sz w:val="21"/>
          <w:u w:color="000000"/>
        </w:rPr>
      </w:pPr>
      <w:r>
        <w:t xml:space="preserve">Separation of Resources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no staff or other resources of its own or of any third party which are directly used in the development of the Parse and Correlate Software are resources which are also used in the development or provision of the Transform functionality.</w:t>
      </w:r>
    </w:p>
    <w:p>
      <w:pPr>
        <w:pStyle w:val="Heading3"/>
        <w:spacing/>
        <w:ind w:left="600"/>
        <w:contextualSpacing w:val="false"/>
        <w:rPr>
          <w:rFonts w:ascii="Expert Sans" w:hAnsi="Expert Sans" w:cs="Expert Sans"/>
          <w:b/>
          <w:color w:val="000000"/>
          <w:sz w:val="21"/>
          <w:u w:color="000000"/>
        </w:rPr>
      </w:pPr>
      <w:r>
        <w:t xml:space="preserve">Right to Use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any person shall have the right to use the Parse and Correlate Software source software code on a non-proprietary and royalty-free basis, except insofar as royalties are due in respect of any Intellectual Property Rights the use of which is mandated by the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INTIMATE COMMUNICATIONS HUB INTERFACE SPECIFICATION</w:t>
      </w:r>
    </w:p>
    <w:p>
      <w:pPr>
        <w:pStyle w:val="Normal"/>
        <w:spacing/>
        <w:ind w:left="600"/>
        <w:contextualSpacing w:val="false"/>
        <w:rPr>
          <w:rFonts w:ascii="Expert Sans" w:hAnsi="Expert Sans" w:cs="Expert Sans"/>
          <w:color w:val="000000"/>
          <w:sz w:val="19"/>
          <w:u w:color="000000"/>
        </w:rPr>
      </w:pPr>
      <w:r>
        <w:rPr>
          <w:b/>
        </w:rPr>
        <w:t xml:space="preserve">Maintenance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ICHIS and ensure that the ICHIS meets the requirements of Section H12.2 and H12.3. The ICHIS is not relevant to SMETS1 CHs.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requirements of this Section H12.2 are that the ICHIS describes a specification for the physical interface (including the electrical and data connection) between: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Communications Hub (which shall incorporate the male components of the physical interface);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either a Smart Meter or a Communications Hub Hot Shoe (which shall, in either case, incorporate the female components of the physical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 of this Section H12.3 is that the specification described by the ICHIS only requires the use of tangible and intangible property (including physical components and Intellectual Property Rights) that is readily available on a reasonable and non-discriminatory basis.</w:t>
      </w:r>
    </w:p>
    <w:p>
      <w:pPr>
        <w:pStyle w:val="Heading3"/>
        <w:spacing/>
        <w:ind w:left="600"/>
        <w:contextualSpacing w:val="false"/>
        <w:rPr>
          <w:rFonts w:ascii="Expert Sans" w:hAnsi="Expert Sans" w:cs="Expert Sans"/>
          <w:b/>
          <w:color w:val="000000"/>
          <w:sz w:val="21"/>
          <w:u w:color="000000"/>
        </w:rPr>
      </w:pPr>
      <w:r>
        <w:t xml:space="preserve">Publication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publish the ICHIS on the DCC Website, and ensure that all persons are free to use the ICHIS without charge (whether for the purposes of this Code or otherwise); provided that the DCC shall limit its liability to persons other than the Parties on the same terms as apply in respect of the ICHIS under Section M2 (Limitations of Liability).</w:t>
      </w:r>
    </w:p>
    <w:p>
      <w:pPr>
        <w:pStyle w:val="Heading3"/>
        <w:spacing/>
        <w:ind w:left="600"/>
        <w:contextualSpacing w:val="false"/>
        <w:rPr>
          <w:rFonts w:ascii="Expert Sans" w:hAnsi="Expert Sans" w:cs="Expert Sans"/>
          <w:b/>
          <w:color w:val="000000"/>
          <w:sz w:val="21"/>
          <w:u w:color="000000"/>
        </w:rPr>
      </w:pPr>
      <w:r>
        <w:t xml:space="preserve">Consultation Regarding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keep the ICHIS under review to ascertain whether the ICHIS remains fit for the purposes envisaged by this Code. The DCC may from time to time at its discretion (and shall where directed to do so by the Panel) consult with Parties as to whether they consider that the ICHIS remains fit for the purposes envisaged by this Code.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each consultation pursuant to Section H12.5, the DCC shall publish on the DCC Website (and notify all Parties of) a report on the outcome of such consultation,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process undertaken in respect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(and, if so, how and from what implementation date) the DCC proposes to amend the ICHIS as a result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detailed summary of the consultation responses received from Parties, identifying in particular those responses that raised objections to the position adopted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rationale for the position it has adopted;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costs and expenses that are likely to arise as a result of the position adopted by the DCC (including the costs and expenses likely to arise as a result of any modifications that will be required to be made to Smart Meters, Communications Hubs and Communications Hub Hot Shoes);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steps it has taken (including any testing or prototype development) to ensure that the ICHIS (if amended as proposed) remains fit for the purposes envisaged by this Code.</w:t>
      </w:r>
    </w:p>
    <w:p>
      <w:pPr>
        <w:pStyle w:val="Heading3"/>
        <w:spacing/>
        <w:ind w:left="600"/>
        <w:contextualSpacing w:val="false"/>
        <w:rPr>
          <w:rFonts w:ascii="Expert Sans" w:hAnsi="Expert Sans" w:cs="Expert Sans"/>
          <w:b/>
          <w:color w:val="000000"/>
          <w:sz w:val="21"/>
          <w:u w:color="000000"/>
        </w:rPr>
      </w:pPr>
      <w:r>
        <w:t xml:space="preserve">Referral to the Authority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10 Working Days following notification by the DCC to a Party of a report published in accordance with Section H12.6, that Party may refer the report to the Authority to consider whether the consultation to which that report relates was undertaken in accordance with the DCC’s obligations under this Code or whether the notice period provided for implementation of the amendment was reasonable given the circumstances.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Authority determines that the relevant consultation was not undertaken in accordance with the DCC’s obligations under this Code or that the notice period provided for implementation of the amendment was not reasonable given the circumstances, the DCC shall repeat the consultation and comply with any directions made by the Authority in respect of the same. Where the Authority determines both (where both of the following were referred to the Authority) or either (where only one of the following was so referred)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Normal"/>
        <w:spacing/>
        <w:ind w:left="600"/>
        <w:contextualSpacing w:val="false"/>
        <w:rPr>
          <w:rFonts w:ascii="Expert Sans" w:hAnsi="Expert Sans" w:cs="Expert Sans"/>
          <w:color w:val="000000"/>
          <w:sz w:val="19"/>
          <w:u w:color="000000"/>
        </w:rPr>
      </w:pPr>
      <w:r>
        <w:t xml:space="preserve"> the consultation and proposed course of action shall stand. </w:t>
      </w:r>
    </w:p>
    <w:p>
      <w:pPr>
        <w:pStyle w:val="Heading3"/>
        <w:spacing/>
        <w:ind w:left="600"/>
        <w:contextualSpacing w:val="false"/>
        <w:rPr>
          <w:rFonts w:ascii="Expert Sans" w:hAnsi="Expert Sans" w:cs="Expert Sans"/>
          <w:b/>
          <w:color w:val="000000"/>
          <w:sz w:val="21"/>
          <w:u w:color="000000"/>
        </w:rPr>
      </w:pPr>
      <w:r>
        <w:t xml:space="preserve">Amendments to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amendment may be made to the ICHIS unless: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undertaken such prototype development and testing in respect of the proposed amendment as the DCC reasonably considers necessary to ensure that the ICHIS is fit for the purposes envisaged by this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consulted with Parties regarding the proposed amendment and proposed date of implementation, published a report on the outcome of such consultation, and notified the Parties of such publication (all in accordance with Section H12.6);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report has not been referred to the Authority in accordance with Section H12.7, or the Authority has determined both (where both of the following were so referred) or either (where only one of the following was so referred) that: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PERFORMANCE STANDARDS AND REPORTING</w:t>
      </w:r>
    </w:p>
    <w:p>
      <w:pPr>
        <w:pStyle w:val="Normal"/>
        <w:spacing/>
        <w:ind w:left="600"/>
        <w:contextualSpacing w:val="false"/>
        <w:rPr>
          <w:rFonts w:ascii="Expert Sans" w:hAnsi="Expert Sans" w:cs="Expert Sans"/>
          <w:color w:val="000000"/>
          <w:sz w:val="19"/>
          <w:u w:color="000000"/>
        </w:rPr>
      </w:pPr>
      <w:r>
        <w:rPr>
          <w:b/>
        </w:rPr>
        <w:t xml:space="preserve">Code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4"/>
        <w:gridCol w:w="4629"/>
        <w:gridCol w:w="1476"/>
        <w:gridCol w:w="1338"/>
        <w:gridCol w:w="1276"/>
      </w:tblGrid>
      <w:tr>
        <w:tc>
          <w:tcPr>
            <w:tcW w:w="584"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Performance Measurement Period</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Service Level</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Minimum Service Level</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1</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On-Demand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2</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Future-Dated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3</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Alerts delivered within the applicable Target Response Time (including the Alerts which are subject to Sections H3.14(i) and (j). Alerts consolidated in accordance with the Alert Management Mechanism will not be counted. </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3A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For those Alerts which are subject to Section H3.14(i), percentage of Alerts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which the DCC is responsible for resolving and which fall within Incident Category 1 or 2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85%</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5</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measured and reported as a separate Code Performance Measure for each of Incident Categories 3, 4 and 5, which the DCC is responsible for resolving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5A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Percentage of Incidents which fall within Incident Category 3, 4 or 5 that are recorded on the Incident Management Log and assigned to a resolver within the Target Initial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6</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time (in minutes) during which each DCC Interface (excluding the one listed in paragraph (f) of the definition of DCC Interface) is available during the Target Availability Period. There shall be a separate Code Performance Measure for each combination of DCC Interface, Region and the two relevant times of day (the first such relevant time of day being Monday-Friday 08.00-20.00 and Saturday 08.00-12.00; the second being every other time). For this purpose, a DCC Interface is only considered to be available where it and the DCC Systems on which it relies are fully available, such that those persons which are intended to be able to use the DCC Interface can use the full functionality which is intended to be available to them.</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99.5%</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98%</w:t>
            </w:r>
          </w:p>
        </w:tc>
      </w:tr>
    </w:tbl>
    <w:p>
      <w:pPr>
        <w:pStyle w:val="Heading3"/>
        <w:spacing/>
        <w:ind w:left="600"/>
        <w:contextualSpacing w:val="false"/>
        <w:rPr>
          <w:rFonts w:ascii="Expert Sans" w:hAnsi="Expert Sans" w:cs="Expert Sans"/>
          <w:b/>
          <w:color w:val="000000"/>
          <w:sz w:val="21"/>
          <w:u w:color="000000"/>
        </w:rPr>
      </w:pPr>
      <w:r>
        <w:t xml:space="preserve">Service Provider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may modify the Reported List of Service Provider Performance Measures where it has: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undertaken reasonable consultation with the Parties regarding the proposed modification;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given due consideration to, and taken into account, any consultation responses received;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provided to the Panel, the Parties, the Authority and (on request) the Secretary of State a statement of its reasons for the modification together with copies of any consultation responses received,</w:t>
      </w:r>
    </w:p>
    <w:p>
      <w:pPr>
        <w:pStyle w:val="Normal"/>
        <w:spacing/>
        <w:ind w:left="600"/>
        <w:contextualSpacing w:val="false"/>
        <w:rPr>
          <w:rFonts w:ascii="Expert Sans" w:hAnsi="Expert Sans" w:cs="Expert Sans"/>
          <w:color w:val="000000"/>
          <w:sz w:val="19"/>
          <w:u w:color="000000"/>
        </w:rPr>
      </w:pPr>
      <w:r>
        <w:t xml:space="preserve">and as soon as reasonably practicable following any such modification, the DCC shall provide an up-to-date copy of the Reported List of Service Provider Performance Measures to the Panel, the Parties, the Authority and (on request)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Prior to agreeing any changes to the DCC Service Provider Contracts that will alter the Service Provider Performance Measures,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reasonable consultation with the Panel and Parties regarding such changes;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to the Panel, the Parties, the Authority and (on request) the Secretary of State a statement of its reasons for proposing to agree such changes.</w:t>
      </w:r>
    </w:p>
    <w:p>
      <w:pPr>
        <w:pStyle w:val="Heading3"/>
        <w:spacing/>
        <w:ind w:left="600"/>
        <w:contextualSpacing w:val="false"/>
        <w:rPr>
          <w:rFonts w:ascii="Expert Sans" w:hAnsi="Expert Sans" w:cs="Expert Sans"/>
          <w:b/>
          <w:color w:val="000000"/>
          <w:sz w:val="21"/>
          <w:u w:color="000000"/>
        </w:rPr>
      </w:pPr>
      <w:r>
        <w:t xml:space="preserve">Reporting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25 Working Days following the end of each Performance Measurement Period, produce a report setting out the Service Levels achieved in respect of each Performance Measure. Such report must identify: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those Performance Measures (if any) for which the Service Level was less than the Target Service Level and/or the Minimum Service Level;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Service Level is less than the Target Service Level, the reason for the Service Level achieved;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Service Level is less than the Minimum Service Level, the steps the DCC is taking to prevent the re-occurrence or continuation of the reason for the Service Level achieved;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anticipated reductions in the DCC’s Internal Costs and/or External Costs (as both such expressions are defined in the DCC Licence) arising as a consequence of the DCC Service Providers failing to achieve the Target Service Levels in respect of the Service Provider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report produced pursuant to Section H13.4: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be provided by DCC, immediately following its production, to the Panel, the Parties, the Authority and (on request) the Secretary of State;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be provided by the Panel, at its discretion, to any other person.</w:t>
      </w:r>
    </w:p>
    <w:p>
      <w:pPr>
        <w:pStyle w:val="Heading3"/>
        <w:spacing/>
        <w:ind w:left="600"/>
        <w:contextualSpacing w:val="false"/>
        <w:jc w:val="left"/>
        <w:rPr>
          <w:rFonts w:ascii="Expert Sans" w:hAnsi="Expert Sans" w:cs="Expert Sans"/>
          <w:b/>
          <w:color w:val="000000"/>
          <w:sz w:val="21"/>
          <w:u w:color="000000"/>
        </w:rPr>
      </w:pPr>
      <w:r>
        <w:t xml:space="preserve">Report on Performance Indicators</w:t>
      </w:r>
    </w:p>
    <w:p>
      <w:pPr>
        <w:pStyle w:val="Normal"/>
        <w:numPr>
          <w:ilvl w:val="2"/>
          <w:numId w:val="42"/>
        </w:numPr>
        <w:spacing/>
        <w:ind w:left="1300" w:hanging="700"/>
        <w:contextualSpacing w:val="false"/>
        <w:jc w:val="left"/>
        <w:rPr>
          <w:rFonts w:ascii="Expert Sans" w:hAnsi="Expert Sans" w:cs="Expert Sans"/>
          <w:color w:val="000000"/>
          <w:sz w:val="19"/>
          <w:u w:color="000000"/>
        </w:rPr>
      </w:pPr>
      <w:r>
        <w:t xml:space="preserve">At the same time as the report required under Section H13.4, the DCC shall also report on its performance against the Performance Indicators for the same period. </w:t>
      </w:r>
    </w:p>
    <w:p>
      <w:pPr>
        <w:pStyle w:val="Normal"/>
        <w:numPr>
          <w:ilvl w:val="2"/>
          <w:numId w:val="44"/>
        </w:numPr>
        <w:spacing/>
        <w:ind w:left="1300" w:hanging="700"/>
        <w:contextualSpacing w:val="false"/>
        <w:jc w:val="left"/>
        <w:rPr>
          <w:rFonts w:ascii="Expert Sans" w:hAnsi="Expert Sans" w:cs="Expert Sans"/>
          <w:color w:val="000000"/>
          <w:sz w:val="19"/>
          <w:u w:color="000000"/>
        </w:rPr>
      </w:pPr>
      <w:r>
        <w:t xml:space="preserve">The Panel shall establish and periodically review, in consultation with the Parties and the Authority, a document (to be known as the DCC Performance Indicators Document) which lists the reasonable service metrics which are to constitute the Performance Indicators, and which are therefore to be measured and reported on by the DCC. The DCC Performance Indicators Document shall include the Performance Indicators described in Section H13.5C and shall require these to be included in the report required under Section H13.5A and may request other individual Performance Indicator(s) to be included in the report, including:</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graphs of daily performance in respect of delivery of each of the Business Processes;</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monthly median figures for performance in respect of delivery of each of the Business Processes;</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the total number of each of the Business Processes delivered each month;</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for each DCC Interface separately, the average amount of downtime per Incident; and</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for each DCC Interface separately, the mean amount of time between Incidents.</w:t>
      </w:r>
    </w:p>
    <w:p>
      <w:pPr>
        <w:pStyle w:val="Normal"/>
        <w:numPr>
          <w:ilvl w:val="2"/>
          <w:numId w:val="46"/>
        </w:numPr>
        <w:spacing/>
        <w:ind w:left="1300" w:hanging="700"/>
        <w:contextualSpacing w:val="false"/>
        <w:jc w:val="left"/>
        <w:rPr>
          <w:rFonts w:ascii="Expert Sans" w:hAnsi="Expert Sans" w:cs="Expert Sans"/>
          <w:color w:val="000000"/>
          <w:sz w:val="19"/>
          <w:u w:color="000000"/>
        </w:rPr>
      </w:pPr>
      <w:r>
        <w:t xml:space="preserve">When looked at on an Alert type basis (as opposed to when aggregated with other Alert types pursuant to row 3 of the table in Section H13.1), the performance of the Alerts which are subject to Section H3.14(j) against the relevant Target Response Time set out in the DCC's Power Outage &amp; Restoration Alerts Delivery Management Document shall be Performance Indicators.</w:t>
      </w:r>
    </w:p>
    <w:p>
      <w:pPr>
        <w:pStyle w:val="Heading3"/>
        <w:spacing/>
        <w:ind w:left="600"/>
        <w:contextualSpacing w:val="false"/>
        <w:rPr>
          <w:rFonts w:ascii="Expert Sans" w:hAnsi="Expert Sans" w:cs="Expert Sans"/>
          <w:b/>
          <w:color w:val="000000"/>
          <w:sz w:val="21"/>
          <w:u w:color="000000"/>
        </w:rPr>
      </w:pPr>
      <w:r>
        <w:t xml:space="preserve">Performance Measurement Methodology</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8"/>
        </w:numPr>
        <w:spacing/>
        <w:ind w:left="1600" w:hanging="700"/>
        <w:contextualSpacing w:val="false"/>
        <w:rPr>
          <w:rFonts w:ascii="Expert Sans" w:hAnsi="Expert Sans" w:cs="Expert Sans"/>
          <w:color w:val="000000"/>
          <w:sz w:val="19"/>
          <w:u w:color="000000"/>
        </w:rPr>
      </w:pPr>
      <w:r>
        <w:t xml:space="preserve">establish and periodically review the Performance Measurement Methodology in accordance with Good Industry Practice and in consultation with the Panel, the Parties and the Authority;</w:t>
      </w:r>
    </w:p>
    <w:p>
      <w:pPr>
        <w:pStyle w:val="Normal"/>
        <w:numPr>
          <w:ilvl w:val="3"/>
          <w:numId w:val="48"/>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Performance Measurement Methodology; and</w:t>
      </w:r>
    </w:p>
    <w:p>
      <w:pPr>
        <w:pStyle w:val="Normal"/>
        <w:numPr>
          <w:ilvl w:val="3"/>
          <w:numId w:val="48"/>
        </w:numPr>
        <w:spacing/>
        <w:ind w:left="1600" w:hanging="700"/>
        <w:contextualSpacing w:val="false"/>
        <w:rPr>
          <w:rFonts w:ascii="Expert Sans" w:hAnsi="Expert Sans" w:cs="Expert Sans"/>
          <w:color w:val="000000"/>
          <w:sz w:val="19"/>
          <w:u w:color="000000"/>
        </w:rPr>
      </w:pPr>
      <w:r>
        <w:t xml:space="preserve">as soon as reasonably practicable following any modification which the Panel approves, provide an up to date copy of the Performance Measurement Methodology to the Panel, the Parties, the Authority and (on request) the Secretary of State.</w:t>
      </w:r>
    </w:p>
    <w:p>
      <w:pPr>
        <w:pStyle w:val="Heading3"/>
        <w:spacing/>
        <w:ind w:left="600"/>
        <w:contextualSpacing w:val="false"/>
        <w:rPr>
          <w:rFonts w:ascii="Expert Sans" w:hAnsi="Expert Sans" w:cs="Expert Sans"/>
          <w:b/>
          <w:color w:val="000000"/>
          <w:sz w:val="21"/>
          <w:u w:color="000000"/>
        </w:rPr>
      </w:pPr>
      <w:r>
        <w:t xml:space="preserve">Customer Analytics Reporting</w:t>
      </w:r>
    </w:p>
    <w:p>
      <w:pPr>
        <w:pStyle w:val="Normal"/>
        <w:numPr>
          <w:ilvl w:val="2"/>
          <w:numId w:val="50"/>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establish and periodically review the Customer Analytics Reporting Methodology and Guidance Document (including such reviews as the Panel may request), in consultation with the Panel and Users;</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Customer Analytics Reporting Methodology and Guidance Document; and</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make the Customer Analytics Reporting Methodology and Guidance Document available to the Panel and the Users.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The Customer Analytics Reporting Methodology and Guidance Document must:</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set out the requirements that the DCC will undertake:</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provide performance metrics for Services, and must provide each User with details of the performance achieved in respect of that User against those metrics, together with details of the performance achieved in respect of other Users in the same User Role on an anonymised, industry-wide basis; and</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provide guidance to Users regarding the provision of Customer Analytics Reporting by the DCC.</w:t>
      </w:r>
    </w:p>
    <w:p>
      <w:pPr>
        <w:pStyle w:val="Normal"/>
        <w:numPr>
          <w:ilvl w:val="2"/>
          <w:numId w:val="54"/>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DCC shall, within 10 working days following the end of each month, provide the Users with the Customer Analytics Reporting for the prior month.</w:t>
      </w:r>
    </w:p>
    <w:p>
      <w:pPr>
        <w:pStyle w:val="Normal"/>
        <w:numPr>
          <w:ilvl w:val="2"/>
          <w:numId w:val="5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Clauses 13.6A to 13.6C shall only apply from 31 December 2024.</w:t>
      </w:r>
    </w:p>
    <w:p>
      <w:pPr>
        <w:pStyle w:val="Heading3"/>
        <w:spacing/>
        <w:ind w:left="600"/>
        <w:contextualSpacing w:val="false"/>
        <w:rPr>
          <w:rFonts w:ascii="Expert Sans" w:hAnsi="Expert Sans" w:cs="Expert Sans"/>
          <w:b/>
          <w:color w:val="000000"/>
          <w:sz w:val="21"/>
          <w:u w:color="000000"/>
        </w:rPr>
      </w:pPr>
      <w:r>
        <w:t xml:space="preserve">OPR Exceptional Events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Sections H13.7 to H13.14 shall apply only to the extent that the OPR Reporting established under the DCC Licence applies by reference to reporting under this Code. OPR Exceptional Events shall not apply in respect of Performance Measure reporting under Section H13.4.</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OPR Reporting, in measuring performance for each Performance Measure, the DCC shall exclude from the Service Level calculation any and all instances of delayed or non-performance for which the DCC has relief for an OPR Exceptional Event by virtue of Section H13.12.</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claim relief for the purposes of OPR Reporting in respect of the Performance Measures to the extent this is due to OPR Exceptional Events. Where the DCC also wishes to claim relief in respect of its obligations under this Code, the DCC must also separately claim relief for Services FM under Section M3 (Services FM and Force Majeure).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cannot claim an OPR Exceptional Event has occurred: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 relation to any wilful act, neglect or failure to take reasonable precautions against the relevant OPR Exceptional Event by the DCC or its servants, agents, employees or contractors (including the DCC Service Providers);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OPR Exceptional Events); and/or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OPR Exceptional Events,</w:t>
      </w:r>
    </w:p>
    <w:p>
      <w:pPr>
        <w:pStyle w:val="Normal"/>
        <w:spacing/>
        <w:ind w:left="600"/>
        <w:contextualSpacing w:val="false"/>
        <w:rPr>
          <w:rFonts w:ascii="Expert Sans" w:hAnsi="Expert Sans" w:cs="Expert Sans"/>
          <w:color w:val="000000"/>
          <w:sz w:val="19"/>
          <w:u w:color="000000"/>
        </w:rPr>
      </w:pPr>
      <w:r>
        <w:t xml:space="preserve">and in any event, the DCC shall not be entitled to relief for the purposes of OPR Reporting if and to the extent that it is required to comply with the BCDR Procedure in accordance with Sections H10.9 and H10.10 (the Business Continuity and Disaster Recovery Procedure) but has failed to do so (unless this failure is also due to OPR Exceptional Events affecting the operation of the BCDR Procedure).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OPR Exceptional Event), give to the Users that were due to receive the affected Services and to the Panel full details of the OPR Exceptional Event and any relief for the purposes of OPR Reporting which the DCC wishes to claim in connection with the OPR Exceptional Event.</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be entitled to relief for the purposes of OPR Reporting in respect of OPR Exceptional Events to the extent that the Panel agrees following consultation with any relevant Sub-Committee that the requirements of Sections H13.9 and H13.10 are met, and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DCC could not have avoided the occurrence of the OPR Exceptional Event (or its consequences or likely consequences) by taking steps which the DCC was required to take (or procure) under this Code and any Bilateral Agreement or might reasonably be expected to have taken;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OPR Exceptional Event directly caused the non-performance of the Services for which relief is claimed;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OPR Exceptional Event on the performance of the Services.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Panel shall reach a determination as to whether the DCC is entitled to relief for the purposes of OPR Reporting in respect of an OPR Exceptional Event in accordance with Section H13.12 within 10 Working Days after the DCC notifies the Panel of the OPR Exceptional Event under Section H13.11.</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notify the affected Users and the Panel as soon as reasonably practicable after the OPR Exceptional Event ceases or no longer causes the DCC to be unable to comply with its obligations under this Code and/or any Bilateral Agreement in respect of the Services.</w:t>
      </w:r>
    </w:p>
    <w:p>
      <w:pPr>
        <w:pStyle w:val="Normal"/>
        <w:numPr>
          <w:ilvl w:val="2"/>
          <w:numId w:val="58"/>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produce quarterly reporting on SM WAN coverage levels for each Region. This figure should be calculated by the number of ‘covered’ addresses which have some level of SM WAN coverage against the total addresses in that Region;</w:t>
      </w:r>
    </w:p>
    <w:p>
      <w:pPr>
        <w:pStyle w:val="Normal"/>
        <w:numPr>
          <w:ilvl w:val="3"/>
          <w:numId w:val="58"/>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produce quarterly reporting of addresses where there is no SM WAN coverage or the SM WAN coverage level has changed since the last quarterly report;</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produce monthly reporting when Suppliers raise SM WAN-related incidents to the DCC Service Desk and the address where this has been raised;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record all SM WAN-related incidents raised to the DCC Service Desk. A monthly report shall be produced showing all incidents in each Region;</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planned work and work that is ongoing to improve SM WAN at sites which are currently declared to have no SM WAN; and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SM WAN outages which will then be provided to SEC Parties.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TESTING SERVICES</w:t>
      </w:r>
    </w:p>
    <w:p>
      <w:pPr>
        <w:pStyle w:val="Heading3"/>
        <w:spacing/>
        <w:ind w:left="600"/>
        <w:contextualSpacing w:val="false"/>
        <w:rPr>
          <w:rFonts w:ascii="Expert Sans" w:hAnsi="Expert Sans" w:cs="Expert Sans"/>
          <w:b/>
          <w:color w:val="000000"/>
          <w:sz w:val="21"/>
          <w:u w:color="000000"/>
        </w:rPr>
      </w:pPr>
      <w:r>
        <w:t xml:space="preserve">General Testing Requirements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following testing services (the “</w:t>
      </w:r>
      <w:r>
        <w:rPr>
          <w:b/>
        </w:rPr>
        <w:t xml:space="preserve">Testing Services</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SMKI and Repository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and User System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Modification Proposal implementation testing (as described in Section H14.34);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DCC Internal Systems change testing (as described in Section H14.36);</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RDP Entry Process Tests;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SMETS1 Pending Product Combinations Tests;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RF Noise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Interoperability and Innovation Events;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GFI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Wired Instrumented Test Communications Hubs;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DCC Boxed; </w:t>
      </w:r>
    </w:p>
    <w:p>
      <w:pPr>
        <w:pStyle w:val="Normal"/>
        <w:numPr>
          <w:ilvl w:val="3"/>
          <w:numId w:val="8"/>
        </w:numPr>
        <w:spacing/>
        <w:ind w:left="1600" w:hanging="700"/>
        <w:contextualSpacing w:val="false"/>
        <w:jc w:val="left"/>
        <w:rPr>
          <w:rFonts w:ascii="Expert Sans" w:hAnsi="Expert Sans" w:cs="Expert Sans"/>
          <w:color w:val="000000"/>
          <w:sz w:val="19"/>
          <w:u w:color="000000"/>
        </w:rPr>
      </w:pPr>
      <w:r>
        <w:rPr>
          <w:color w:val="404040"/>
          <w:sz w:val="19"/>
          <w:u w:color="404040"/>
        </w:rPr>
        <w:t xml:space="preserve">SMDA DCC Testing (as described in Section H14.59);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Virtual WAN Interface Tests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the Testing Services available, and shall provide the Testing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accordance with the Enduring Testing Approach Document and Good Industry Practice;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between 08:00 hours and 18.00 hours Monday to Friday, and at any other time that it is reasonably practicable to do so (including where any DCC Service Provider has agreed to provide services at such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act reasonably in relation to its provision of the Testing Services and shall facilitate the completion (in a timely manner) of tests pursuant to the Testing Services by each such person which is entitled to do so in accordance with this Section H14. Each Testing Participant shall comply with the Enduring Testing Approach Document with respect to the relevant Testing Services. The DCC shall publish on the DCC Website a guide for Testing Participants describing which persons are eligible for which Testing Services, and on what basis (including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To the extent it is reasonably practicable to do so, the DCC shall allow persons who are eligible to undertake tests pursuant to the Testing Services to undertake those tests concurrently, or shall (otherwise) determine, in a non-discriminatory manner, the order in which such persons will be allowed to undertake such tests. Where any Testing Participant disputes the order in which persons are allowed to undertake tests pursuant to this Section H14.4, then the Testing Participant may refer the matter to the Panel. Where the DCC or any Testing Participant wishes to do so, it may refer the Panel's decision on such matter to the Authority for its determination (which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which undertakes tests pursuant to the Testing Services shall do so in accordance with Good Industry Practice. To the extent that such tests involve a Party accessing the DCC’s premises, the Party shall do so in compliance with the site rules and reasonable instructions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be liable for any loss of or damage to the equipment of Testing Participants (fair wear and tear excepted) that occurs while such equipment is within the DCC’s possession or control pursuant to the Testing Services; save to the extent that such loss or damage is caused by a breach of this Code (or the equivalent agreement under Section H14.7) by the Testing Participant.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accordance with this Section H14) a person that is not a Party is eligible to undertake a category of Testing Services as a Testing Participant, the DCC shall not provide those Testing Services to that person unless it is bound by an agreement entered into with the DCC pursuant to this Section H14.7. Where a person who is a Testing Participant (but not a Party) requests a Testing Service, the DCC shall offer terms upon which such Testing Service will be provided. Such offer shall be provided as soon as reasonably practicable after receipt of the request, and shall be based on the Specimen Enabling Services Agreement (subject only to such variations from such specimen form as are reasonable in the circumstances).</w:t>
      </w:r>
    </w:p>
    <w:p>
      <w:pPr>
        <w:pStyle w:val="Heading3"/>
        <w:spacing/>
        <w:ind w:left="600"/>
        <w:contextualSpacing w:val="false"/>
        <w:rPr>
          <w:rFonts w:ascii="Expert Sans" w:hAnsi="Expert Sans" w:cs="Expert Sans"/>
          <w:b/>
          <w:color w:val="000000"/>
          <w:sz w:val="21"/>
          <w:u w:color="000000"/>
        </w:rPr>
      </w:pPr>
      <w:r>
        <w:t xml:space="preserve">General: Forecasting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Testing Participant shall provide the DCC with as much prior notice as is reasonably practicable of that Testing Participant’s intention to use any of the following Testing Services: User Entry Process Tests, SMKI and Repository Entry Process Tests, Device and User System Tests, SMETS1 Pending Product Combinations Tests and RF Noise Testing.</w:t>
      </w:r>
    </w:p>
    <w:p>
      <w:pPr>
        <w:pStyle w:val="Heading3"/>
        <w:spacing/>
        <w:ind w:left="600"/>
        <w:contextualSpacing w:val="false"/>
        <w:rPr>
          <w:rFonts w:ascii="Expert Sans" w:hAnsi="Expert Sans" w:cs="Expert Sans"/>
          <w:b/>
          <w:color w:val="000000"/>
          <w:sz w:val="21"/>
          <w:u w:color="000000"/>
        </w:rPr>
      </w:pPr>
      <w:r>
        <w:t xml:space="preserve">General: Systems and Devices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such facilities as are reasonably required in relation to the Testing Services, including providing: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access to the Testing Services either at physical test laboratories and/or remotely;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Test Communications Hubs for use by Testing Participants at the DCC’s physical test laboratories which represent each and every combination of HAN Variant and WAN Variant;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Devices (other than SMETS2+ Communications Hubs) for use by Testing Participants at the DCC’s physical test laboratories, which Devices are to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the case of SMETS1 Devices as further described or set out in the Enduring Testing Approach Document;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except for SMETS1 Devices, such Device Models as the Panel approves from time to time (provided that, where Test Stubs (or other alternative arrangements) were used then such Tests Stubs (or other alternative arrangements) will be used in place of Devices until the DCC agrees with the Panel which Device Models to use).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Sections H14.9(b) and (c), the DCC shall allow Testing Participants to use Devices they have procured themselves when using the Testing Services. The DCC shall make storage facilities available at the DCC’s physical test laboratories for the temporary storage by Testing Participants of such Devices (for no more than 30 days before and no more than 30 days after completion of the Testing Service for which such Devices may be expected to be used). The DCC shall ensure that such storage facilities are secure and only capable of access by persons authorised by the relevant Testing Participant.</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The DCC may require a Testing Participant to remove its Devices from a DCC physical test laboratory in accordance with the requirements set out in the Enduring Testing Approach Document. Any dispute between the DCC and a Testing Participant regarding the removal of such Devices (or the right to re-commence testing) may be referred to the Panel for its determination (which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General: SMKI Test Certificates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following shall apply in relation to Test Certificates: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in accordance with the Enduring Testing Approach Document, issue and make available to Testing Participants copies of such Test Certificates as are reasonably necessary for the purposes of the Testing Participants undertaking Testing Services;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only use Test Certificates for the purposes envisaged by this Section H14.11 (and shall not use actual Certificates when providing the Testing Services, except to such extent as is approved, and subject to any conditions imposed, by the SMKI PMA);</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only use those Test Certificates for the purposes for which such Test Certificates are made available (and shall not use actual Certificates when undertaking the tests referred to in this Section H14.11);</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be entitled to make those certificates available to others provided that such others only use them for the purposes for which such certificates were made available to the Testing Participant;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DCC shall ensure that the Test Certificates are clearly distinguishable from actual Certificates;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act in accordance with Good Industry Practice in providing the Test Certificates;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shall act in accordance with Good Industry Practice in using the Test Certificates;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Testing Participant hereby, subject to Section M2.1 (Unlimited Liabilities):</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waives all rights, remedies and claims it would otherwise have (whether for breach of contract, in tort or delict or otherwise) against the DCC in respect of the Test Certificates;</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undertakes not to bring any claim against the DCC in respect of the Test Certificates; and</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where it makes the Test Certificates available to others, undertakes to ensure that no such others bring any claim against the DCC in respect of such Test Certificates.</w:t>
      </w:r>
    </w:p>
    <w:p>
      <w:pPr>
        <w:pStyle w:val="Heading3"/>
        <w:spacing/>
        <w:ind w:left="600"/>
        <w:contextualSpacing w:val="false"/>
        <w:rPr>
          <w:rFonts w:ascii="Expert Sans" w:hAnsi="Expert Sans" w:cs="Expert Sans"/>
          <w:b/>
          <w:color w:val="000000"/>
          <w:sz w:val="21"/>
          <w:u w:color="000000"/>
        </w:rPr>
      </w:pPr>
      <w:r>
        <w:t xml:space="preserve">User Entry Process Tests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Parties seeking to become Users in accordance with Section H1 (User Entry Process) are entitled to undertake User Entry Process Tests.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In respect of a Party seeking to become eligible as a User in a particular User Role, the purpose of the User Entry Process Tests is to test the capability of that Party and the Party’s Systems to interoperate with the DCC and the DCC System, to the extent necessary in order that the Party: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has established a connection to the DCC User Interface via the Party’s chosen DCC Gateway Connection;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can use the DCC User Interface for the purposes set out in Section H3.3 (Communications to be sent via DCC User Interface) in respect of the Services for which Users in that User Role are eligible;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can use the Self-Service Interface for the purposes set out in Section H8 (Service Management, Self-Service Interface and Service Desk).</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User Entry Process Tests will: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test the sending of communications from the proposed User System via the DCC System to be received by Devices and from Devices via the DCC System to be received by the proposed User System, recognising that such tests may involve a simulation of those Systems rather than the actual Systems;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undertaken in accordance with the Common Test Scenarios Document;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undertaken using Devices selected and provided by the DCC as referred to in Sections H14.9(b) and (c).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Only Parties who the DCC considers meet any entry requirements (for a particular User Role) set out in the Common Test Scenarios Document shall be entitled to undertake the User Entry Process Tests for that User Role.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is not satisfied that a Party meets such entry requirements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Party seeking to undertake the User Entry Process Tests shall develop its own test scripts and demonstrate how those test scripts meet the requirements of the relevant scenarios set out in the Common Test Scenarios Document. Each Party shall obtain the DCC’s approval that such test scripts meet those requirements before the User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Party will have the right to determine the sequencing of the tests that comprise the User Entry Process Tests; save to the extent that a particular sequence is mandated in the Common Test Scenarios Document.</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DCC or the Party undertaking the User Entry Process Tests may suspend testing in accordance with the requirements set out in the Common Test Scenarios Document. Any dispute between the DCC and a Party regarding the suspension (or consequent resumption) of such testing may be referred to the Panel for its determination. Where the DCC or the Party disagrees with any such determination of the Panel, then the DCC or the Party may refer the matter to the Authority for its determination (which determination shall be final and binding for the purposes of this Code).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A Party will have successfully completed the User Entry Process Tests (for a particular User Role), once the DCC considers that the Party has demonstrated that it has satisfied the requirements set out in the Common Test Scenarios Document for that User Role. Where requested by a Party, the DCC shall provide written confirmation to the Party confirming whether or not the DCC considers that the Party has successfully completed the User Entry Process Tests (for a particular User Role).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 Where Systems have been proven to meet the requirements of this Code as part of one Party's successful completion of the User Entry Process Tests or tests under Section H14.32 that are equivalent to all or part of the User Entry Process Tests (and where the substance of the relevant part of the User Entry Process Tests have not changed in the interim), then:</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any Party that has use of those Systems shall be entitled to submit proof to the DCC that this is the case when seeking to meet any applicable entry and/or exit requirements set out in the Common Test Scenarios Document; and</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Party meets such entry and/or exit requirements.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Where the DCC is not satisfied that a Party has successfully completed the User Entry Process Tests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Each Party or Registration Data Provider seeking to complete the entry process described in Section L7 (SMKI and Repository Entry Process Tests) is entitled to undertake the SMKI and Repository Entry Process Tests to become either or both of:</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an Authorised Subscriber under either or both of the Organisation Certificate Policy and/or the Device Certificate Policy; and/or</w:t>
      </w:r>
    </w:p>
    <w:p>
      <w:pPr>
        <w:pStyle w:val="Normal"/>
        <w:numPr>
          <w:ilvl w:val="3"/>
          <w:numId w:val="66"/>
        </w:numPr>
        <w:spacing/>
        <w:ind w:left="1600" w:hanging="700"/>
        <w:contextualSpacing w:val="false"/>
        <w:rPr>
          <w:rFonts w:ascii="Expert Sans" w:hAnsi="Expert Sans" w:cs="Expert Sans"/>
          <w:color w:val="000000"/>
          <w:sz w:val="19"/>
          <w:u w:color="000000"/>
        </w:rPr>
      </w:pPr>
      <w:r>
        <w:t xml:space="preserve">eligible to access the SMKI Repository.</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The SMKI and Repository Entry Process Tests will be undertaken in accordance with the SMKI and Repository Test Scenarios Document.</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A Testing Participant seeking to undertake the SMKI and Repository Entry Process Tests for the purposes of either or both of Section H14.22(a) and/or (b) shall notify the DCC of the purposes for which it is undertaking those tests. Only Testing Participants that meet any applicable entry requirements set out in the SMKI and Repository Tests Scenarios Document shall be entitled to undertake those SMKI and Repository Entry Process Tests for the purposes described in Section H14.22(a) and/or (b).</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Where the DCC is not satisfied that a Testing Participant meets such entry requirements,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Each Testing Participant seeking to undertake the SMKI and Repository Entry Process Tests shall develop its own test scripts and demonstrate how those test scripts meet the requirements of the relevant scenarios set out in the SMKI and Repository Tests Scenarios Document (for the purposes described in Section H14.22(a) and/or (b), as applicable). Each Testing Participant shall obtain the DCC’s approval that such test scripts meet those requirements before the SMKI and Repository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Each Testing Participant seeking to undertake the tests will have the right to determine the sequencing of the tests that comprise the SMKI and Repository Entry Process Tests; save to the extent that a particular sequence is mandated in the SMKI and Repository Tests Scenarios Document.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The DCC or the Testing Participant undertaking the SMKI and Repository Entry Process Tests may suspend testing in accordance with the requirements set out in the SMKI and Repository Test Scenarios Document. Any dispute between the DCC and a Testing Participant regarding the suspension (or consequent resumption) of such testing may be referred to the Panel for its determination. Where the DCC or the Testing Participant disagrees with any such determination of the Panel, then the DCC or the Testing Participant may refer the matter to the Authority for its determination (which determination shall be final and binding for the purposes of this Code).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A Testing Participant will have successfully completed the SMKI and Repository Entry Process Tests (for the purposes described in Section H14.22(a) and/or (b), as applicable), once the DCC considers that the Testing Participant has demonstrated that it has satisfied the requirements set out in the SMKI and Repository Tests Scenarios Document for those purposes. Where requested by a Testing Participant, the DCC shall provide written confirmation to the Testing Participant confirming whether or not the DCC considers that the Testing Participant has successfully completed the SMKI and Repository Entry Process Tests (for the purposes described in Section H14.22(a) and/or (b), as applicable).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Where Systems have been proven to meet the requirements of this Code as part of one Testing Participant's successful completion of the SMKI and Repository Entry Process Tests or tests under Section H14.32 that are equivalent to all or part of the SMKI and Repository Entry Process Tests (and where the substance of the relevant part of the SMKI and Repository Entry Process Tests have not changed in the interim), then:</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any Testing Participant that has use of those Systems shall be entitled to submit proof to the DCC that this is the case when seeking to meet any applicable entry and/or exit requirements set out in the SMKI and Repository Tests Scenarios Document; and</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Testing Participant meets such entry and/or exit requirements.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Where the DCC is not satisfied that a Testing Participant has successfully completed the SMKI and Repository Entry Process Tests (for the purposes described in Section H14.22(a) and/or (b), as applicable),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Device and User System Tests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This Section H14.31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a service to enable Testing Participants: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the interoperability of SMETS2+ Devices (other than those comprising Communications Hubs) with the DCC Systems and with the Test Communications Hubs provided as part of the Testing Services, such that those Devices are able to respond to Commands received from or via the DCC in accordance with the requirements defined in the GB Companion Specification;</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the interoperability of SMETS1 Devices with the DCC Systems, such that those Devices are able to respond to Instructions received from or via the DCC such that the necessary Equivalent Steps are taken (provided that such service need only be provided by the DCC in respect of combinations of SMETS1 Device Models that are listed on the SMETS1 Eligible Product Combinations);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the interoperability of User Systems with the DCC Systems, including via the DCC User Interface and the Self-Service Interface;</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SMETS2+ Devices (other than those comprising Communications Hubs) with the DCC Systems and with the Test Communications Hubs provided as part of the Testing Services; and</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SMETS1 Devices (excluding combinations of SMETS1 Devices that are not listed on the SMETS1 Eligible Product Combinations) with the DCC Systems,</w:t>
      </w:r>
    </w:p>
    <w:p>
      <w:pPr>
        <w:pStyle w:val="Normal"/>
        <w:spacing/>
        <w:ind w:left="600"/>
        <w:contextualSpacing w:val="false"/>
        <w:rPr>
          <w:rFonts w:ascii="Expert Sans" w:hAnsi="Expert Sans" w:cs="Expert Sans"/>
          <w:color w:val="000000"/>
          <w:sz w:val="19"/>
          <w:u w:color="000000"/>
        </w:rPr>
      </w:pPr>
      <w:r>
        <w:t xml:space="preserve">which Testing Services, except in respect of (c) above, shall (subject to the Testing Participant agreeing to pay any applicable Charges, as further described in the Enduring Testing Approach Document) include the provision of a connection to a simulation of the SMETS2+ SM WAN (which simulation must cover all Communications Technologies, where more than one Communications Technology is utilised by the DCC in a Geographical Region) for the purpose of such tests, as further described in the Enduring Testing Approach Document (save to the extent the connection is required where the DCC is relieved from its obligation to provide Communication Services pursuant to the Statement of Service Exemptions). For the avoidance of doubt, the DCC shall not be obliged by this Section H14.31 to provide a connection to a simulation of the SMETS1 SM WAN. References to particular Systems in this Section H14.31may include a simulation of those Systems (rather than the actual Systems).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Each Party is eligible to undertake Device and User System Tests. Any Manufacturer (whether or not a Party) is eligible to undertake those Device and User System Tests described in Section H14.31(a) and (b); provided that, in the case of any such tests that require the use of a DCC Gateway Connection, the Manufacturer must be a Party. Any person providing (or seeking to provide) goods or services to Parties or Manufacturers in respect of Devices is eligible to undertake those Device and User System Tests described in Section H14.31(a) and (b); provided that, in the case of any such tests that require the use of a DCC Gateway Connection, the person must be a Party. A Party undertaking the Device and User System Tests described in Section H14.31(c) is entitled to undertake tests equivalent to any or all of the User Entry Process Tests and SMKI and Repository Entry Process Tests, in respect of which:</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shall, at the Party’s request, assess whether the test results would meet the requirements of all or part of the applicable User Entry Process Tests and/or SMKI and Repository Entry Process Tests;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shall, at the Party's request, provide a written statement confirming the DCC's assessment of whether the test results would meet the requirements of all or part of the applicable tests; and</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Party may, where it disputes the DCC's assessment, refer the matter to the Panel for its determination (which shall be final and binding for the purposes of this Code).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The DCC shall, on request by a Testing Participant, take all reasonable steps to offer additional support to that Testing Participant (subject to such Testing Participant agreeing to pay any applicable Charges) in understanding and resolving issues associated with:</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the DCC Total System and the results of such Testing Participant's Device and User System Tests;</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where the Testing Participant is a Party, the Systems of the Testing Participant that are (or are intended to be) User Systems; and/or</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communications between the DCC and any Device or between Devices which comprise (or which the Testing Participant intends will comprise) a Smart Metering System.</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The additional Testing Services provided for in Section H14.33 are without prejudice to the DCC’s obligations in respect of Testing Issues, Incidents and Problems.</w:t>
      </w:r>
    </w:p>
    <w:p>
      <w:pPr>
        <w:pStyle w:val="Heading3"/>
        <w:spacing/>
        <w:ind w:left="600"/>
        <w:contextualSpacing w:val="false"/>
        <w:rPr>
          <w:rFonts w:ascii="Expert Sans" w:hAnsi="Expert Sans" w:cs="Expert Sans"/>
          <w:b/>
          <w:color w:val="000000"/>
          <w:sz w:val="21"/>
          <w:u w:color="000000"/>
        </w:rPr>
      </w:pPr>
      <w:r>
        <w:t xml:space="preserve">Modification Implementation Testing</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Where an approved Modification Proposal provides for the DCC to provide testing services as part of the Modification Proposal's implementation, then such testing shall be undertaken as a Testing Service pursuant to this Section H14.34.</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The Parties which are eligible, or obliged, to participate in such testing shall be determined in accordance with Section D (Modification Process), and either set out in this Code or established via a process set out in this Code.</w:t>
      </w:r>
    </w:p>
    <w:p>
      <w:pPr>
        <w:pStyle w:val="Heading3"/>
        <w:spacing/>
        <w:ind w:left="600"/>
        <w:contextualSpacing w:val="false"/>
        <w:rPr>
          <w:rFonts w:ascii="Expert Sans" w:hAnsi="Expert Sans" w:cs="Expert Sans"/>
          <w:b/>
          <w:color w:val="000000"/>
          <w:sz w:val="21"/>
          <w:u w:color="000000"/>
        </w:rPr>
      </w:pPr>
      <w:r>
        <w:t xml:space="preserve">DCC Internal System Change Testing</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Where, pursuant to Section H8.8 (DCC Internal Systems Changes), a Party or an RDP is involved in testing of changes to the DCC Internal Systems, then such testing shall not be subject to the requirements of Section H14.3, Section H14.4 and Sections H14.6 to H14.11 (inclusive), but such Party or RDP may nevertheless raise a Testing Issue in respect of the tests (and the references to Testing Participant in Sections H14.37 to H14.44 shall be interpreted accordingly).</w:t>
      </w:r>
    </w:p>
    <w:p>
      <w:pPr>
        <w:pStyle w:val="Heading3"/>
        <w:spacing/>
        <w:ind w:left="600"/>
        <w:contextualSpacing w:val="false"/>
        <w:rPr>
          <w:rFonts w:ascii="Expert Sans" w:hAnsi="Expert Sans" w:cs="Expert Sans"/>
          <w:b/>
          <w:color w:val="000000"/>
          <w:sz w:val="21"/>
          <w:u w:color="000000"/>
        </w:rPr>
      </w:pPr>
      <w:r>
        <w:t xml:space="preserve">SMETS1 Pending Product Combinations Tests</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This Section H14.36A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services (the "</w:t>
      </w:r>
      <w:r>
        <w:rPr>
          <w:b/>
        </w:rPr>
        <w:t xml:space="preserve">SMETS1 Pending Product Combinations Tests</w:t>
      </w:r>
      <w:r>
        <w:t xml:space="preserve">") whereby a Party or a Manufacturer (being the relevant Testing Participant) can from time to time request that the DCC determines whether or not testing is required and, where it determines that testing is required, tests one or more combinations of SMETS1 Device Models and communication services provider that are not at that time listed on the SMETS1 Eligible Product Combinations in order to demonstrate whether the DCC is able to successfully process SMETS1 Service Requests and relevant SMETS1 Alerts in respect of them (subject to Section H14.36C(c)).</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requested in accordance with Section H14.36A, the DCC shall undertake, and facilitate the Testing Participant's participation in, the SMETS1 Pending Product Combinations Tests in respect of the requested combination(s) of SMETS1 Device Models as soon as reasonably practicable. The DCC shall then notify the relevant Testing Participant whether the DCC is able to successfully process SMETS1 Service Requests and relevant SMETS1 Alerts in respect of them, without needing to make material changes to the DCC Systems and/or modifications to this Code.</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the DCC notifies a Testing Participant that the DCC is not able to successfully process SMETS1 Service Requests and relevant SMETS1 Alerts in respect of a combination of SMETS1 Device Models without needing to make material changes to the DCC Systems and/or modifications to this Code, then the DCC shall:</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provide the relevant Testing Participant with reasonable details of the reasons why the DCC is not able to do so, and of the changes to the DCC Systems and/or modifications to this Code which would be required in order to enable the DCC to do so (in each case, to the extent that the DCC has been able to identify such reasons and changes and/or modifications, having taken reasonable steps to identify them);</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provide the relevant Testing Participant with such reasonable support as they may request in understanding the issues identified by the DCC;</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not be obliged to provide SMETS1 Pending Product Combinations Tests to the same Testing Participant in respect of the same combination of SMETS1 Device Models unless and until the relevant changes have been made to the DCC System and/or the relevant modifications have been made to this Code; and</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make available in accordance with the Enduring Testing Approach Document such details regarding the relevant combination of SMETS1 Device Models as is required in accordance with the Enduring Testing Approach Document.</w:t>
      </w:r>
    </w:p>
    <w:p>
      <w:pPr>
        <w:pStyle w:val="Normal"/>
        <w:numPr>
          <w:ilvl w:val="2"/>
          <w:numId w:val="82"/>
        </w:numPr>
        <w:spacing/>
        <w:ind w:left="1300" w:hanging="700"/>
        <w:contextualSpacing w:val="false"/>
        <w:rPr>
          <w:rFonts w:ascii="Expert Sans" w:hAnsi="Expert Sans" w:cs="Expert Sans"/>
          <w:color w:val="000000"/>
          <w:sz w:val="19"/>
          <w:u w:color="000000"/>
        </w:rPr>
      </w:pPr>
      <w:r>
        <w:t xml:space="preserve">Where the DCC is able to successfully process SMETS1 Service Requests and relevant SMETS1 Alerts in respect of a combination of SMETS1 Device Models without needing to make material changes to the DCC Systems and/or modifications to this Code, then the DCC shall add that combination of Device Models to the SMETS1 Eligible Product Combinations.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The DCC and the relevant Testing Participant in respect of the SMETS1 Pending Product Combinations Tests shall comply with any and all additional obligations concerning SMETS1 Pending Product Combinations Tests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General: Testing Issue Resolution Process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Each Testing Participant undertaking tests pursuant to this Section H14 is entitled to raise a Testing Issue in respect of those tests. Each Testing Participant shall take reasonable steps to diagnose and resolve a Testing Issue before raising it in accordance with this Section H14.</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A Testing Participant that wishes to raise a Testing Issue shall raise it with the relevant DCC Service Provider (as identified by the DCC from time to time) in accordance with a reasonable and not unduly discriminatory procedure, which is to be established by the DCC and provided to the Panel from time to time (which the Panel shall publish on the Website).</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 Where a Testing Participant raises a Testing Issue, the DCC shall ensure that the relevant DCC Service Provider shall (as soon as reasonably practicable thereafter):</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determine the severity level and priority status of the Testing Issue;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inform the Testing Participant of a reasonable timetable for resolution of the Testing Issue consistent with its severity level and priority status;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provide its determination (in accordance with such timetable) to the Testing Participant on the actions (if any) to be taken to resolve the Testing Issue.</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Pursuant to H14.39, the DCC shall 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Where a Testing Participant is dissatisfied with any of the determinations under Section H14.39 (or the speed with which any such determination is made), the Testing Participant may refer the matter to the DCC. On such a referral to the DCC, the DCC shall (as soon as reasonably practicable thereafter):</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consult with the Testing Participant and any other person as the DCC considers appropriate;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either, depending on the subject matter of the disagreement:</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direct the DCC Service Provider to more quickly provide its determination of the matters set out in Section H14.39(a), (b) and/or (c); or</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make the DCC’s own determination of the matters set out in Section H14.39(a), (b) and/or (c);</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notify the Panel of the DCC’s direction or determination under (b) above;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Where the Testing Participant (or any Party) disagrees with the DCC’s determination pursuant to Section H14.41 of the matters set out at Section H14.39(c) (but not otherwise), then the Testing Participant (or Party) may request that the DCC refers the matter to the Panel for its consideration (provided that the identities of the Testing Participant and, where relevant, the Device's Manufacturer are anonymised).</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Where a matter is referred to the Panel for its consideration pursuant to Section H14.42, the Panel shall consider the matter further to decide upon the actions (if any) to be taken to resolve the Testing Issue. Where the Panel considers the matter further, it may conduct such further consultation as it considers appropriate before making such a decision. Such a decision may include a decision that:</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the Code could be amended to better facilitate achievement of the SEC Objectives;</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the DCC Systems is inconsistent with the requirements of this Code;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one or more Devices is inconsistent with the requirements of this Code; or</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an aspect of the User Systems or the RDP Systems is inconsistent with the requirements of this Code.</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The Panel shall publish each of its decisions under Section H14.43 on the Website; provided that the identities of the Testing Participant and (where relevant) the Device's Manufacturer are anonymised, and that the Panel shall remove or redact information where it considers that publishing such information would be prejudicial to the interests of one or more Parties, or pose a risk of Compromise to the DCC Total System, User Systems, RDP Systems and/or Devices.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A decision of the Panel under Section H14.43 is merely intended to facilitate resolution of the relevant Testing Issue. A decision of the Panel under Section H14.43 is without prejudice to any future decision by the Change Board and/or the Authority concerning a Modification Proposal, by the Secretary of State in exercising its powers under section 88 of the Energy Act 2008, by the Authority concerning the DCC’s compliance with the DCC Licence, or by the Panel under Section M8 (Suspension, Expulsion and Withdrawal).</w:t>
      </w:r>
    </w:p>
    <w:p>
      <w:pPr>
        <w:pStyle w:val="Heading3"/>
        <w:spacing/>
        <w:ind w:left="600"/>
        <w:contextualSpacing w:val="false"/>
        <w:jc w:val="left"/>
        <w:rPr>
          <w:rFonts w:ascii="Expert Sans" w:hAnsi="Expert Sans" w:cs="Expert Sans"/>
          <w:b/>
          <w:color w:val="000000"/>
          <w:sz w:val="21"/>
          <w:u w:color="000000"/>
        </w:rPr>
      </w:pPr>
      <w:r>
        <w:t xml:space="preserve">Radio Frequency Noise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DCC shall provide a Testing Service (referred to as RF Noise Testing) to enable Testing Participants to test Devices to ensure they meet the requirements of the current Intimate Communications Hub Interface Specification (ICHIS) published on the DCC Website in accordance with SEC Section H12, so they do not impact WAN or HAN performance.</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following shall apply in respect of RF Noise Testing:</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RF Noise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Testing Participants undertaking RF Noise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RF Noise Testing, but DCC must take reasonable steps to provide support and assistance to a person undertaking RF Noise Testing in order to assist that person in resolving Testing Issues encountered when undertaking RF Noise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RF Noise Testing shall comply with any and all additional obligations concerning RF Noise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Interoperability and Innovation Events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from time to time and at its discretion, provide a Testing Service that provides a platform for Testing Participants to test connectivity, interoperability, interchangeability and functionality between SMETS2+ Devices.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Participants in respect of Interoperability and Innovation Events shall comply with any and all additional obligations concerning Interoperability and Innovation Events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GFI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provide GFI Testing Tools to Testing Participants upon request to support GFI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following shall apply in respect of GFI Testing:</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GFI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references in H14.42 to “Communications Hubs”, “DCC Systems” and “Devices” shall be interpreted as including references to prototypes of simulations of those things (and GFI Testing shall not include communication via the SM WAN, or a simulation of the SM WAN);</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Testing Participants undertaking GFI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GFI Testing, but DCC must take reasonable steps to provide support and assistance to a person undertaking GFI Testing in order to assist that person in resolving Testing Issues encountered when undertaking GFI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GFI Testing shall comply with any and all additional obligations concerning GFI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Wired Instrumented Test Communications Hubs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provide a Testing Service, which enables Testing Participants to undertake interoperability testing and message handling with a Test Communications Hub across a wired interface.</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Wired ITCH shall comply with any and all additional obligations concerning Wired ITCH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DCC Boxed</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provide DCC Boxed to Testing Participants upon request, and subject to such Testing Participant agreeing to pay the applicable Charges.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following shall apply in respect of DCC Boxed:</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following persons shall be eligible to use DCC Boxed: (i) Parties and (ii) persons that have signed agreements in accordance with Section H14.7; </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Testing Issue Resolution Process in Section H14.37 to H14.45 (General: Testing Issue Resolution Process) shall not apply to DCC Boxed, but Section H14.33 shall apply in relation to DCC Boxed, so that the DCC must (subject to payment of the applicable Charges) take reasonable steps to provide support and assistance to a person using DCC Boxed in order to assist that person in resolving Testing Issues encountered when using DCC Boxed.</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DCC Boxed shall comply with any and all additional obligations concerning DCC Boxed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SMDA DCC Testing</w:t>
      </w:r>
    </w:p>
    <w:p>
      <w:pPr>
        <w:pStyle w:val="Normal"/>
        <w:numPr>
          <w:ilvl w:val="2"/>
          <w:numId w:val="86"/>
        </w:numPr>
        <w:spacing/>
        <w:ind w:left="1300" w:hanging="700"/>
        <w:contextualSpacing w:val="false"/>
        <w:jc w:val="left"/>
        <w:rPr>
          <w:rFonts w:ascii="Expert Sans" w:hAnsi="Expert Sans" w:cs="Expert Sans"/>
          <w:color w:val="000000"/>
          <w:sz w:val="19"/>
          <w:u w:color="000000"/>
        </w:rPr>
      </w:pPr>
      <w:r>
        <w:rPr>
          <w:b w:val="false"/>
        </w:rPr>
        <w:t xml:space="preserve">The DCC shall provide SMDA DCC Testing as follows:</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DCC shall only provide SMDA DCC Testing where (and for so long as) the DCC is appointed as an SMDA Test House; </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testing shall be conducted to assure: </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SMETS2+ Device interoperability, requiring that SMETS2+ Devices interact with the DCC Systems and can successfully receive, interpret, act on and respond to messages; and</w:t>
      </w:r>
    </w:p>
    <w:p>
      <w:pPr>
        <w:pStyle w:val="Normal"/>
        <w:numPr>
          <w:ilvl w:val="4"/>
          <w:numId w:val="86"/>
        </w:numPr>
        <w:spacing/>
        <w:ind w:left="1900" w:hanging="700"/>
        <w:contextualSpacing w:val="false"/>
        <w:rPr>
          <w:rFonts w:ascii="Expert Sans" w:hAnsi="Expert Sans" w:cs="Expert Sans"/>
          <w:color w:val="000000"/>
          <w:sz w:val="19"/>
          <w:u w:color="000000"/>
        </w:rPr>
      </w:pPr>
      <w:r>
        <w:t xml:space="preserve"> SMETS2+ Device interchangeability, to assure that all SMETS2+ Devices on the Home Area Network can communicate with one another and interpret and act on commands;</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testing shall be provided in accordance with the requirements of the framework agreement under which the DCC is appointed as an SMDA Test House; </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subject to such persons agreeing to pay the applicable Charges, the following persons shall be Testing Participants eligible to use the SMDA DCC Testing: (i) Manufacturers, and (ii) such other entities as the SMDA Sub-Committee may determine from time to time;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in respect of any such persons which are not Parties, such persons shall be required to enter into an agreement in accordance with Section H14.7 based on the Specimen Enabling Services Agreement;  </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Testing Issue Resolution Process in Section H14.37 to H14.45 shall not apply to SMDA DCC Testing, however the DCC (in its capacity as the SMDA Test House) shall run the test as normal to observe any failure referencing an issue, and (if the issue is not clear) the DCC shall rerun the test using a Test Communications Hub to capture the logs and raise a testing issue following the outcome of triage, which will be submitted to the Testing Participant;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DCC and the relevant Testing Participant in respect of SMDA DCC Testing only shall comply with any and all additional obligations concerning SMDA DCC Testing set out by the SMDA Schema Operator and in the SMDA Test House Policy.</w:t>
      </w:r>
    </w:p>
    <w:p>
      <w:pPr>
        <w:pStyle w:val="Heading3"/>
        <w:spacing/>
        <w:ind w:left="600"/>
        <w:contextualSpacing w:val="false"/>
        <w:rPr>
          <w:rFonts w:ascii="Expert Sans" w:hAnsi="Expert Sans" w:cs="Expert Sans"/>
          <w:b/>
          <w:color w:val="000000"/>
          <w:sz w:val="21"/>
          <w:u w:color="000000"/>
        </w:rPr>
      </w:pPr>
      <w:r>
        <w:t xml:space="preserve">Virtual WAN Interface Tests</w:t>
      </w:r>
    </w:p>
    <w:p>
      <w:pPr>
        <w:pStyle w:val="Normal"/>
        <w:numPr>
          <w:ilvl w:val="2"/>
          <w:numId w:val="86"/>
        </w:numPr>
        <w:spacing/>
        <w:ind w:left="1300" w:hanging="700"/>
        <w:contextualSpacing w:val="false"/>
        <w:jc w:val="left"/>
        <w:rPr>
          <w:rFonts w:ascii="Expert Sans" w:hAnsi="Expert Sans" w:cs="Expert Sans"/>
          <w:color w:val="000000"/>
          <w:sz w:val="19"/>
          <w:u w:color="000000"/>
        </w:rPr>
      </w:pPr>
      <w:r>
        <w:t xml:space="preserve">The DCC shall provide a Testing Service (known as the Virtual WAN Interface Tests) as follows:</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Testing Service will enable Testing Participants to test communications between a Smart Metering System and the DCC via a Virtual WAN Device and the Virtual WAN Interface, as further described in the Enduring Testing Approach Document (and which may include simulations of the same);</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each User shall be a Testing Participant, subject to any limitations set out in the Enduring Testing Approach Document; and</w:t>
      </w:r>
    </w:p>
    <w:p>
      <w:pPr>
        <w:pStyle w:val="Normal"/>
        <w:numPr>
          <w:ilvl w:val="3"/>
          <w:numId w:val="86"/>
        </w:numPr>
        <w:spacing/>
        <w:ind w:left="1600" w:hanging="700"/>
        <w:contextualSpacing w:val="false"/>
        <w:jc w:val="left"/>
        <w:rPr>
          <w:rFonts w:ascii="Expert Sans" w:hAnsi="Expert Sans" w:cs="Expert Sans"/>
          <w:color w:val="000000"/>
          <w:sz w:val="19"/>
          <w:u w:color="000000"/>
        </w:rPr>
      </w:pPr>
      <w:r>
        <w:t xml:space="preserve">the DCC and the relevant Testing Participant shall each comply with any and all additional obligations concerning the Virtual WAN Interface Tests set out in the Enduring Testing Approach Document.</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GATEWAY CONNECTIONS</w:t>
      </w:r>
    </w:p>
    <w:p>
      <w:pPr>
        <w:pStyle w:val="Heading3"/>
        <w:spacing/>
        <w:ind w:left="600"/>
        <w:contextualSpacing w:val="false"/>
        <w:rPr>
          <w:rFonts w:ascii="Expert Sans" w:hAnsi="Expert Sans" w:cs="Expert Sans"/>
          <w:b/>
          <w:color w:val="000000"/>
          <w:sz w:val="21"/>
          <w:u w:color="000000"/>
        </w:rPr>
      </w:pPr>
      <w:r>
        <w:t xml:space="preserve">Obligation to Maintain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each DCC Gateway Connection and make it available subject to and in accordance with the provisions of this Section H15.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each DCC Gateway Connection is available at all times (subject to Planned Maintenance undertaken in accordance with Section H8.3).</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a DCC Gateway Connection for any purposes other than accessing, and sending and receiving Data via, the DCC Interfaces (and subject to the provisions of this Code applicable to each DCC Interface).</w:t>
      </w:r>
    </w:p>
    <w:p>
      <w:pPr>
        <w:pStyle w:val="Heading3"/>
        <w:spacing/>
        <w:ind w:left="600"/>
        <w:contextualSpacing w:val="false"/>
        <w:rPr>
          <w:rFonts w:ascii="Expert Sans" w:hAnsi="Expert Sans" w:cs="Expert Sans"/>
          <w:b/>
          <w:color w:val="000000"/>
          <w:sz w:val="21"/>
          <w:u w:color="000000"/>
        </w:rPr>
      </w:pPr>
      <w:r>
        <w:t xml:space="preserve">Requests for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other than the DCC may request (in accordance with this Section H15 and as further described in the DCC Gateway Code of Connection) as many DCC Gateway Connections as the Party wishes, in each case using the DCC Gateway Bandwidth Option of the Party’s choice.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order to assist a Party in determining which DCC Gateway Bandwidth Option to request (or, in the case of connections using a DCC Gateway HV Connection, the size of the bandwidth required), the DCC shall (on request) provide any Party with information regarding the size of the different message types that can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5 Working Days following receipt of any request from a Party for a DCC Gateway Connection at a premises,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does not include all the information required in accordance with the DCC Gateway Connection Code of Connection, notify the Party that this is the case and provide reasonable assistance to the Party in re-submitting its request;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a desk-based assessment as described in the DCC Gateway Connection Code of Connection, and provide a response to the Party in respect of that premises under Section H15.7, H15.8 or H15.9 (as applicable).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not required, the DCC shall provide an offer to the Party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required, the DCC shall notify the requesting Party that this is the case,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HV Connection, the DCC shall notify the Party that a physical site assessment is required,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Physical Site Assessments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notice to a Party under Section H15.8 or H15.9, the Party has 30 days following receipt of such notice to confirm to the DCC that the Party wishes the DCC to proceed with the physical site assessment. In the absence of such confirmation, the Party shall be deemed to have opted not to proceed.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has received a confirmation in accordance with Section H15.10, then the DCC shall, within 30 days thereafter, complete the physical site assessment. The Party requesting the connection shall ensure that the DCC has such access to the Party's premises as the DCC may reasonably require in order to undertake such site assessment. The DCC shall ensure that all persons exercising such rights of access do so in compliance with the applicable site rules and reasonable instructions of those in control of the premises.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10 Working Days after completing a physical site assessment pursuant to Section H15.11, provide an offer to the Party that requested a connection at that premises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supplementary conditions which will apply in respect of the connection (in addition to the provisions of this Code) required as a consequence of matters identified in the site assessment;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LV Connections) 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Initial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an offer to a Party under Section H15.7 or H15.12, the Party has 30 days following receipt of such offer to confirm to the DCC that the Party accepts that offer. In the absence of such confirmation, the Party shall be deemed to have opted not to accept the offer (which shall lapse).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Party accepts an offer as described in Section H15.13, the DCC shall take all reasonable steps to provide the requested DCC Gateway LV Connection or DCC Gateway HV Connection by the date set out in the accepted offer (subject to payment of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pPr>
        <w:pStyle w:val="Heading3"/>
        <w:spacing/>
        <w:ind w:left="600"/>
        <w:contextualSpacing w:val="false"/>
        <w:rPr>
          <w:rFonts w:ascii="Expert Sans" w:hAnsi="Expert Sans" w:cs="Expert Sans"/>
          <w:b/>
          <w:color w:val="000000"/>
          <w:sz w:val="21"/>
          <w:u w:color="000000"/>
        </w:rPr>
      </w:pPr>
      <w:r>
        <w:t xml:space="preserve">Use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H15.3, the Party that requested a DCC Gateway Connection at a premises shall be entitled to use that connection for as long as the DCC is obliged to make it available in accordance with Section H15.18 (provided that such Party may transfer its right in respect of that DCC Gateway Connection to another Party on both such Parties giving notice to the DCC referring to this Section H15.16).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may notify the DCC of the other Parties (if any) that are (subject to Section H15.3) entitled to share (or no longer entitled to share) use of that DCC Gateway Connection, and in respect of which DCC Interfaces.</w:t>
      </w:r>
    </w:p>
    <w:p>
      <w:pPr>
        <w:pStyle w:val="Heading3"/>
        <w:spacing/>
        <w:ind w:left="600"/>
        <w:contextualSpacing w:val="false"/>
        <w:rPr>
          <w:rFonts w:ascii="Expert Sans" w:hAnsi="Expert Sans" w:cs="Expert Sans"/>
          <w:b/>
          <w:color w:val="000000"/>
          <w:sz w:val="21"/>
          <w:u w:color="000000"/>
        </w:rPr>
      </w:pPr>
      <w:r>
        <w:t xml:space="preserve">Ongoing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a DCC Gateway Connection has been established at a premises on behalf of a DCC Gateway Party: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make the connection available to the DCC Gateway Party in accordance with this Code until the DCC Gateway Party notifies the DCC that the Party wishes to cancel the connection (on not less than three months' prior notice);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 the expiry of a period referred to in paragraph (b) above, unless the DCC Gateway Party cancels the connection in accordance with paragraph (a) above, the period of connection shall be extended for a year (which will give rise to an additional annual Charge);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Gateway Party and the DCC shall comply with the provisions of the DCC Gateway Connection Code of Connection applicable to the DCC Gateway Bandwidth Option utilised at the connection (and the DCC may limit the use of the connection where the DCC Gateway Party fails to do so and where this is provided for in the DCC Gateway Connection Code of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on request, provide the DCC Gateway Party with a report on the performance of its connection as further set out in the DCC Gateway Connection Code of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HV Connections, the DCC Gateway Party may increase or decrease the bandwidth of its connection in accordance with (and subject to the limitation provided in) the DCC Gateway Code of Connection (provided that, in the case of decreases, the applicable Charges may not alter as a result).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cancellation of any DCC Gateway Connection pursuant to Section H15.18(a), is without prejudice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right of the DCC Gateway Party to apply for another connection under Section H15.4;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obligation of the DCC Gateway Party to pay the applicable Charges for the full duration of the period of connection referred to in the accepted connection offer or any period of extension under Section H15.18(c).</w:t>
      </w:r>
    </w:p>
    <w:p>
      <w:pPr>
        <w:pStyle w:val="Heading3"/>
        <w:spacing/>
        <w:ind w:left="600"/>
        <w:contextualSpacing w:val="false"/>
        <w:rPr>
          <w:rFonts w:ascii="Expert Sans" w:hAnsi="Expert Sans" w:cs="Expert Sans"/>
          <w:b/>
          <w:color w:val="000000"/>
          <w:sz w:val="21"/>
          <w:u w:color="000000"/>
        </w:rPr>
      </w:pPr>
      <w:r>
        <w:t xml:space="preserve">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provide the DCC with such access to that premises as the DCC may reasonably require in order to allow it to undertake the installation, maintenance, relocation or removal of the DCC Gateway Equipment. The DCC shall ensure that all persons exercising such rights of access do so in compliance with the site rules and reasonable instructions of the DCC Gateway Party.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Equipment shall (as between the DCC and each other Party) remain the property of the DCC. The DCC Gateway Equipment is installed at the DCC’s risk, and no other Party shall have liability for any loss of or damage to the DCC Gateway Equipment unless and to the extent that such loss or damage arose as a result of that Party’s breach of this Code (including that Party’s obligations under Section H15.24).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other than the DCC shall hold itself out as the owner of the DCC Gateway Equipment, or purport to sell or otherwise dispose of the 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alter the location of the DCC Gateway Equipment at the Party’s premises, then that Party shall make a request to the DCC, and the DCC shall either (in accordance with any provisions of the DCC Gateway Connection Code of Connection concerning the same):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the DCC Gateway Equipment must be relocated by the DCC, in which case the DCC shall (subject to payment of any applicable Charges) move the DCC Gateway Equipment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DCC's obligation to make a DCC Gateway Connection available ends in accordance with Section H15.18(a) or the DCC Gateway Party for a DCC Gateway Connection ceases to be a Party in accordance with Section M8 (Suspension, Expulsion and Withdrawal), then the DCC shall, within 30 days thereafter: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cease to make that DCC Gateway Connection available;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remove the DCC Gateway Equipment from the relevant premises in accordance with Good Industry Practice and all applicable Laws and Directives.</w:t>
      </w:r>
    </w:p>
    <w:p>
      <w:pPr>
        <w:pStyle w:val="Heading3"/>
        <w:spacing/>
        <w:ind w:left="600"/>
        <w:contextualSpacing w:val="false"/>
        <w:rPr>
          <w:rFonts w:ascii="Expert Sans" w:hAnsi="Expert Sans" w:cs="Expert Sans"/>
          <w:b/>
          <w:color w:val="000000"/>
          <w:sz w:val="21"/>
          <w:u w:color="000000"/>
        </w:rPr>
      </w:pPr>
      <w:r>
        <w:t xml:space="preserve">DCC Gateway Connection 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raise a dispute in relation to its request for a DCC Gateway Connection (or the extension of its period of connection or increases or decreases in the bandwidth of its connection, in each case under Section H15.18), then the dispute may be referred to the Panel for determination. Where that Party or the DCC disagrees with any such determination, then it may refer the matter to the Authority for its determination, which shall be final and binding for the purposes of this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INTEROPERABILITY CHECKER SERVICE</w:t>
      </w:r>
    </w:p>
    <w:p>
      <w:pPr>
        <w:pStyle w:val="Heading3"/>
        <w:spacing/>
        <w:ind w:left="600"/>
        <w:contextualSpacing w:val="false"/>
        <w:rPr>
          <w:rFonts w:ascii="Expert Sans" w:hAnsi="Expert Sans" w:cs="Expert Sans"/>
          <w:b/>
          <w:color w:val="000000"/>
          <w:sz w:val="21"/>
          <w:u w:color="000000"/>
        </w:rPr>
      </w:pPr>
      <w:r>
        <w:t xml:space="preserve">The Responsibility of Supplier Parties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Supplier Party shall ensure that Energy Consumers at premises supplied by it with electricity and/or gas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access to the information described in Section H16.2;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able to access that information in the manner described in Section H16.4;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such access in such manner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information described in this Section (the </w:t>
      </w:r>
      <w:r>
        <w:rPr>
          <w:b/>
        </w:rPr>
        <w:t xml:space="preserve">"Interoperability Data"</w:t>
      </w:r>
      <w:r>
        <w:t xml:space="preserve">) is, in respect of each premises, information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supply of electricity or the supply of gas (as determined by the request made by the Energy Consumer) to the premises is made through an Enrolled Smart Metering System;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either the supply of electricity or the supply of gas is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the supply of other fuel is also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name of the Electricity Supplier or the name of the Gas Supplier (or both as the case may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any such Enrolled Smart Metering System is a SMETS1 Smart Metering System or a SMETS2+ Smart Metering System;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any such Enrolled Smart Metering System is a SMETS1 Smart Metering System, the name of each electricity and/or gas supplier (as the case may be) which has notified the DCC that it is its policy, if it commences to supply premises at which a Smart Metering System of that type is installed, to operate that Smart Metering System in Smart Mode.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Section H16.2(b)(iv), the name of the electricity or gas supplier shall include, where applicable, any brand name that the electricity or gas supplier has notified to the DCC as a brand name that it uses in any communications with or to Energy Consumers.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in respect of any premises shall be able to be accessed by each Energy Consumer at those premises on the request of that Energy Consumer, by means of remote communications, and free of charge.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shall be capable of being accessed by an Energy Consumer: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any such date as may be specified in a direction issued by the Secretary of State to all Supplier Parties and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until any such date as may be specified in a further direction issued by the Secretary of State to all Supplier Parties and the DCC,</w:t>
      </w:r>
    </w:p>
    <w:p>
      <w:pPr>
        <w:pStyle w:val="Normal"/>
        <w:spacing/>
        <w:ind w:left="600"/>
        <w:contextualSpacing w:val="false"/>
        <w:rPr>
          <w:rFonts w:ascii="Expert Sans" w:hAnsi="Expert Sans" w:cs="Expert Sans"/>
          <w:color w:val="000000"/>
          <w:sz w:val="19"/>
          <w:u w:color="000000"/>
        </w:rPr>
      </w:pPr>
      <w:r>
        <w:t xml:space="preserve">and for these purposes the Secretary of State may exercise the power to give a direction under Sections H16.5(a) and (b) more than once. </w:t>
      </w:r>
    </w:p>
    <w:p>
      <w:pPr>
        <w:pStyle w:val="Heading3"/>
        <w:spacing/>
        <w:ind w:left="600"/>
        <w:contextualSpacing w:val="false"/>
        <w:rPr>
          <w:rFonts w:ascii="Expert Sans" w:hAnsi="Expert Sans" w:cs="Expert Sans"/>
          <w:b/>
          <w:color w:val="000000"/>
          <w:sz w:val="21"/>
          <w:u w:color="000000"/>
        </w:rPr>
      </w:pPr>
      <w:r>
        <w:t xml:space="preserve">Provision of Data by Suppliers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establishing a record of the Interoperability Data referred to in Section H.16.2(b)(iv), each Supplier Party may provide the DCC, in such manner and in such form as may be specified by the DCC, with a statement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in respect of each type of Smart Metering System which at that time constitutes an Enrolled SMETS1 Smart Metering System at any premises;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indicates whether the policy of that Supplier Party, if it commenced (at the date of the statement) to supply premises at which that type of Smart Metering System was installed, would be, subject to any exceptions identified by the Licensee in the statement, to operate it in Smart Mode;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accurate and up to date.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Supplier Party provides a statement to the DCC in accordance with Section H16.6, it may also notify the DCC of any brand name (including where it works in partnership with a White Label Tariff Provider any brand name of the White Label Tariff Provider) it uses when engaging in activities that are directed at, or incidental to identifying and communicating with, Energy Consumers in relation to the supply of electricity or gas. </w:t>
      </w:r>
    </w:p>
    <w:p>
      <w:pPr>
        <w:pStyle w:val="Heading3"/>
        <w:spacing/>
        <w:ind w:left="600"/>
        <w:contextualSpacing w:val="false"/>
        <w:rPr>
          <w:rFonts w:ascii="Expert Sans" w:hAnsi="Expert Sans" w:cs="Expert Sans"/>
          <w:b/>
          <w:color w:val="000000"/>
          <w:sz w:val="21"/>
          <w:u w:color="000000"/>
        </w:rPr>
      </w:pPr>
      <w:r>
        <w:t xml:space="preserve">Obligations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behalf of all Supplier Parties, and for the purpose of ensuring that each Supplier Party can discharge its responsibility under Section H16.1, the DCC shall provide a service to be known as the "</w:t>
      </w:r>
      <w:r>
        <w:rPr>
          <w:b/>
        </w:rPr>
        <w:t xml:space="preserve">Interoperability Checker Service</w:t>
      </w:r>
      <w:r>
        <w:t xml:space="preserve">", being a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by means of which the Interoperability Data in respect of each premises to which gas and/or electricity is supplied shall be made available to Energy Consumers at those premises so that it may be accessed by each Energy Consumer on request and free of charge by means of remote communications; and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that is provided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providing the Interoperability Checker Service in accordance with Section H16.8, the DCC shall enter into an agreement in accordance with Sections H16.10 to H16.12 with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Citizens Advice and </w:t>
      </w:r>
      <w:ins w:author="Someone" w:id="0">
        <w:r>
          <w:t xml:space="preserve">Consumer</w:t>
        </w:r>
      </w:ins>
      <w:del w:author="Someone" w:id="1">
        <w:r>
          <w:delText xml:space="preserve">Citizens</w:delText>
        </w:r>
      </w:del>
      <w:r>
        <w:t xml:space="preserve"> </w:t>
      </w:r>
      <w:del w:author="Someone" w:id="2">
        <w:r>
          <w:delText xml:space="preserve">Advice </w:delText>
        </w:r>
      </w:del>
      <w:r>
        <w:t xml:space="preserve">Scotland;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other person as may, in substitution for those named in paragraph (a), be specified in a direction issued by the Secretary of State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be an agreement under which the person identified in that Section shall, by means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one or more dedicated pages on a website; or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dedicated smartphone or tablet application, </w:t>
      </w:r>
    </w:p>
    <w:p>
      <w:pPr>
        <w:pStyle w:val="Normal"/>
        <w:spacing/>
        <w:ind w:left="600"/>
        <w:contextualSpacing w:val="false"/>
        <w:rPr>
          <w:rFonts w:ascii="Expert Sans" w:hAnsi="Expert Sans" w:cs="Expert Sans"/>
          <w:color w:val="000000"/>
          <w:sz w:val="19"/>
          <w:u w:color="000000"/>
        </w:rPr>
      </w:pPr>
      <w:r>
        <w:t xml:space="preserve">maintained by it or on its behalf, agree to provide a facility through which Energy Consumers may request and obtain the Interoperability Data via remote communications.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as a minimum, contain terms which require that the facility provided under that agreement is designed to ensure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person requesting Interoperability Data shall be able to obtain the such data only on providing information that reasonably establishes that he or she is an Energy Consumer at the premises to which the Interoperability Data relates;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appropriate safeguards are in place to ensure that Interoperability Data may be accessed only by individual Energy Consumers, and may not be accessed by means of software capable of making automated requests in respect of multiple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 Interoperability Data, or any information provided by Energy Consumers for the purposes of requesting the Interoperability Data, may be accessed, retained or processed by the person providing the facility: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such a manner as may be used to provide, or used in conjunction with the provision of, any other service by that person to an Energy Consumer; or </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for any purpose other than ensuring the effective provision of the facility.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agreement entered into by the DCC in accordance with Section H16.9 shall, as soon as practicable after it has been entered into, be submitted by the DCC to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have no liability to any Party where it provides (or does not provide) the Interoperability Checker Service in circumstances where it should not (or should) have done so, to the extent that the same arises due to inaccuracies in the Interoperability Data that are not caused by the DCC. </w:t>
      </w:r>
    </w:p>
    <w:p>
      <w:pPr>
        <w:pStyle w:val="Heading3"/>
        <w:spacing/>
        <w:ind w:left="600"/>
        <w:contextualSpacing w:val="false"/>
        <w:rPr>
          <w:rFonts w:ascii="Expert Sans" w:hAnsi="Expert Sans" w:cs="Expert Sans"/>
          <w:b/>
          <w:color w:val="000000"/>
          <w:sz w:val="21"/>
          <w:u w:color="000000"/>
        </w:rPr>
      </w:pPr>
      <w:r>
        <w:t xml:space="preserve">Provision of Data by the DCC to Suppliers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Supplier Parties, in such manner and in such form as may be determined from time to time by the DCC, with a statement that sets out each particular type of SMETS1 Smart Metering System which at that time is or can become an Enrolled SMETS1 Smart Metering System.</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this Section H16:</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00"/>
        <w:gridCol w:w="5804"/>
      </w:tblGrid>
      <w:tr>
        <w:tc>
          <w:tcPr>
            <w:tcW w:w="3500" w:type="dxa"/>
            <w:vAlign w:val="top"/>
          </w:tcPr>
          <w:p>
            <w:pPr>
              <w:pStyle w:val="TableParagraphNormal"/>
              <w:spacing/>
              <w:ind w:left="0"/>
              <w:contextualSpacing w:val="false"/>
              <w:rPr>
                <w:rFonts w:ascii="Expert Sans" w:hAnsi="Expert Sans" w:cs="Expert Sans"/>
                <w:color w:val="000000"/>
                <w:sz w:val="19"/>
                <w:u w:color="000000"/>
              </w:rPr>
            </w:pPr>
            <w:r>
              <w:t xml:space="preserve">Smart Mode</w:t>
            </w:r>
          </w:p>
        </w:tc>
        <w:tc>
          <w:tcPr>
            <w:tcW w:w="5804"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of a particular type, that a Supplier Party does or will, on a regular basis, send communications to and receive communications from that Smart Metering System by means of the DCC's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8"/>
        </w:numPr>
        <w:spacing/>
        <w:ind w:left="1000" w:hanging="700"/>
        <w:contextualSpacing w:val="false"/>
        <w:jc w:val="left"/>
        <w:rPr>
          <w:rFonts w:ascii="Expert Sans" w:hAnsi="Expert Sans" w:cs="Expert Sans"/>
          <w:b/>
          <w:color w:val="000000"/>
          <w:sz w:val="21"/>
          <w:u w:val="single" w:color="000000"/>
        </w:rPr>
      </w:pPr>
      <w:r>
        <w:t xml:space="preserve">MAP / MANUFACTURER REPORTS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Subject to Section H17.2, the following entities shall be eligible to request and receive reports under this Section H17 in respect of Smart Meters: (a) the Manufacturer of the Smart Meter; and/or (b) the Meter Asset Provider of the Smart Meter.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only provide reports under this Section H17 to Meter Asset Providers and Manufacturers which are either: (a) a Party; or (b) party to an agreement in the form of the Specimen Enabling Services Agreement.</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In order to receive reports in respect of a particular Smart Meter, the entity requesting the report will need to provide reasonable evidence to the DCC that such entity is the Manufacturer or Meter Asset Provider of the Smart Meter. The DCC shall not provide reports to an entity unless the DCC has obtained such reasonable evidence of such entity's status as Manufacturer or Meter Asset Provider.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Reports under this Section H17 can be requested quarterly, monthly or on an ad hoc basis (but not more than once each month). The DCC shall provide the reports in accordance with such requests.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report under this Section H17 will set out (as a minimum) for each and every Smart Meter for which the recipient is the Manufacturer or Meter Asset Provider: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ID or Global Unique Identifier (GUID);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Type, Smart Meter Model and Manufacturer;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firmware version;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SMI Status;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Region;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Registered Supplier(s) and its/their effective from date(s);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Communications Hub make, model and firmware version.</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provide reports under this Section H17 via its preferred file sharing platform, and shall mark them as confidential and not to be shared with any third party apart from the Registered Supplier Party.</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entity which obtains one or more reports pursuant to this Section H17 undertakes to:</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only use the data contained in those reports for its internal business purposes;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not sell or commercially exploit the data contained in those reports;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keep the data contained in those reports confidential in accordance with Section M4 (Confidentiality).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VIRTUAL WAN PROVIDER SERVICE</w:t>
      </w:r>
    </w:p>
    <w:p>
      <w:pPr>
        <w:pStyle w:val="Heading3"/>
        <w:spacing/>
        <w:ind w:left="600"/>
        <w:contextualSpacing w:val="false"/>
        <w:rPr>
          <w:rFonts w:ascii="Expert Sans" w:hAnsi="Expert Sans" w:cs="Expert Sans"/>
          <w:b/>
          <w:color w:val="000000"/>
          <w:sz w:val="21"/>
          <w:u w:color="000000"/>
        </w:rPr>
      </w:pPr>
      <w:r>
        <w:t xml:space="preserve">Obligation of the DCC to maintain the Virtual WAN Interface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establish and maintain the Virtual WAN Interface.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subject to and in accordance with the Virtual WAN Interface Specification, make the Virtual WAN Interface available to enable communications between the DCC and Virtual WAN Smart Metering Systems (as an alternative to communications via the SM WAN) for the purposes of the DCC sending and receiving Commands, Service Responses and Alerts to and from Smart Metering Systems over the internet, including for the purposes of Enrolling Smart Metering Systems and/or providing Communication Services in respect of Smart Metering Systems.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ensure that the Virtual WAN Interface is available at all times (subject to Planned Maintenance undertaken in accordance with Section H8.3).</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comply with the WAN Selection Arrangements.</w:t>
      </w:r>
    </w:p>
    <w:p>
      <w:pPr>
        <w:pStyle w:val="Heading3"/>
        <w:spacing/>
        <w:ind w:left="600"/>
        <w:contextualSpacing w:val="false"/>
        <w:rPr>
          <w:rFonts w:ascii="Expert Sans" w:hAnsi="Expert Sans" w:cs="Expert Sans"/>
          <w:b/>
          <w:color w:val="000000"/>
          <w:sz w:val="21"/>
          <w:u w:color="000000"/>
        </w:rPr>
      </w:pPr>
      <w:r>
        <w:t xml:space="preserve">Development of the Virtual WAN Interface Specification</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first version of the Virtual WAN Interface Specification is to be designated by the Secretary of State and incorporated into this Code pursuant to Part G of Condition 22 of the DCC Licence and Section X5 (Incorporation of Certain Documents into this Code). </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Virtual WAN Interface Specification shall include: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specification of the interface between Virtual WAN Devices and the DCC Systems (being the Virtual WAN Interface);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specification of the interface between Virtual WAN Communications Hubs and Virtual WAN Devices.</w:t>
      </w:r>
    </w:p>
    <w:p>
      <w:pPr>
        <w:pStyle w:val="Heading3"/>
        <w:spacing/>
        <w:ind w:left="600"/>
        <w:contextualSpacing w:val="false"/>
        <w:rPr>
          <w:rFonts w:ascii="Expert Sans" w:hAnsi="Expert Sans" w:cs="Expert Sans"/>
          <w:b/>
          <w:color w:val="000000"/>
          <w:sz w:val="21"/>
          <w:u w:color="000000"/>
        </w:rPr>
      </w:pPr>
      <w:r>
        <w:t xml:space="preserve">Obligations of Users in respect of the Virtual WAN Provider Service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User shall ensure that it shall not (and that no-one acting on its behalf shall) connect a Virtual WAN Device to an Energy Consumer's internet without that Energy Consumer's consent, and without explaining that the Energy Consumer's internet will be used for the purposes of conveying messages to and from the Smart Metering System.</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Responsible Supplier for a Virtual WAN Smart Metering System at a Virtual WAN Reliant Premises shall periodically notify the Energy Consumer that there is a Virtual WAN Device connected to the Energy Consumer's internet, and that the Energy Consumer has consented to their internet being used for the purposes of conveying messages to and from the Smart Metering System.</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If the relevant Energy Consumer notifies a Responsible Supplier for a Smart Metering System that is connected to the Virtual WAN Interface that the Energy Consumer does not consent to the Virtual WAN Device being connected to or using the Energy Consumer's internet, then the Responsible Supplier shall:</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inform the Energy Consumer of the consequences of disconnecting the Virtual WAN Device;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if the Energy Consumer nevertheless wishes to disconnect the Virtual WAN Device, inform the Energy Consumer how to do so.</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Virtual WAN Transition 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Virtual WAN Transition Document is to be developed by the DCC pursuant to this Section H19,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purpose of the Virtual WAN Transition Document is to:</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provide that some or all of the modifications made to this Code for the purposes of setting out the Virtual WAN Arrangements shall not initially apply;</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provide for the phased introduction of the Virtual WAN Arrangements;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the full establishment of the Virtual WAN Arrangements;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establish arrangements by which Users can order Virtual WAN Communications Hubs for use in the live trialling of Virtual WAN Devices; </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establish arrangements by which Manufacturers can access the VWKI Services for the purposes of the live trialling of Virtual WAN Devices;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facilitate live trialling of Virtual WAN Devices.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For clarity, initial versions of the Virtual WAN Transition Document may only deal with some of these listed purposes.</w:t>
      </w:r>
    </w:p>
    <w:p>
      <w:pPr>
        <w:pStyle w:val="Heading3"/>
        <w:spacing/>
        <w:ind w:left="600"/>
        <w:contextualSpacing w:val="false"/>
        <w:rPr>
          <w:rFonts w:ascii="Expert Sans" w:hAnsi="Expert Sans" w:cs="Expert Sans"/>
          <w:b/>
          <w:color w:val="000000"/>
          <w:sz w:val="21"/>
          <w:u w:color="000000"/>
        </w:rPr>
      </w:pPr>
      <w:r>
        <w:t xml:space="preserve">Content of the Virtual WAN Transition Document</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Virtual WAN Transition Document may include, without limitation, some or all of the following: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Virtual WAN Transition Document which are either additional to or vary other rights and/or obligations set out in this Code;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processes by which changes to DCC Systems are to be made to enable the DCC to begin communicating with Virtual WAN Smart Metering Systems via the Virtual WAN Interface;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pre-conditions to apply in relation to use of the Virtual WAN Interface or the making available of Virtual WAN Communications Hubs;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transitional arrangements for accessing the VWKI Service and VWKI Repository Service;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DCC reporting obligations regarding the Virtual WAN Arrangements;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the full establishment of the Virtual WAN Arrangements, which may include limitations and/or variations to Services in light of other proposed changes to this Code;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Virtual WAN Transition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In this Section H19, the "</w:t>
      </w:r>
      <w:r>
        <w:rPr>
          <w:b/>
        </w:rPr>
        <w:t xml:space="preserve">Virtual WAN Arrangements</w:t>
      </w:r>
      <w:r>
        <w:t xml:space="preserve">" means the arrangements for or connected with the provision of the Virtual WAN Provider Services, including in relation to Virtual WAN Devices, Virtual WAN Communications Hubs, the Virtual WAN Interface and the VWKI Services. </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upperLetter"/>
      <w:lvlText w:val="%1%2%3."/>
      <w:lvlJc w:val="left"/>
      <w:pPr>
        <w:ind w:hanging="700"/>
        <w:contextualSpacing w:val="true"/>
        <w:jc w:val="left"/>
      </w:pPr>
    </w:lvl>
    <w:lvl w:ilvl="3">
      <w:start w:val="1"/>
      <w:numFmt w:val="decimal"/>
      <w:lvlText w:val="%1%2%3.%4"/>
      <w:lvlJc w:val="left"/>
      <w:pPr>
        <w:ind w:hanging="700"/>
        <w:contextualSpacing w:val="true"/>
        <w:jc w:val="left"/>
      </w:pPr>
    </w:lvl>
    <w:lvl w:ilvl="4">
      <w:start w:val="1"/>
      <w:numFmt w:val="lowerLetter"/>
      <w:lvlText w:val="(%5)"/>
      <w:lvlJc w:val="left"/>
      <w:pPr>
        <w:ind w:hanging="700"/>
        <w:contextualSpacing w:val="true"/>
        <w:jc w:val="left"/>
      </w:pPr>
    </w:lvl>
  </w:abstractNum>
  <w:abstractNum w:abstractNumId="7">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upperLetter"/>
      <w:lvlText w:val="%1%2%3."/>
      <w:lvlJc w:val="left"/>
      <w:pPr>
        <w:ind w:hanging="700"/>
        <w:contextualSpacing w:val="true"/>
        <w:jc w:val="left"/>
      </w:pPr>
    </w:lvl>
    <w:lvl w:ilvl="3">
      <w:start w:val="1"/>
      <w:numFmt w:val="decimal"/>
      <w:lvlText w:val="%1%2%3.%4"/>
      <w:lvlJc w:val="left"/>
      <w:pPr>
        <w:ind w:hanging="700"/>
        <w:contextualSpacing w:val="true"/>
        <w:jc w:val="left"/>
      </w:pPr>
    </w:lvl>
    <w:lvl w:ilvl="4">
      <w:start w:val="1"/>
      <w:numFmt w:val="lowerLetter"/>
      <w:lvlText w:val="(%5)"/>
      <w:lvlJc w:val="left"/>
      <w:pPr>
        <w:ind w:hanging="700"/>
        <w:contextualSpacing w:val="true"/>
        <w:jc w:val="left"/>
      </w:pPr>
    </w:lvl>
  </w:abstractNum>
  <w:abstractNum w:abstractNumId="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1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7">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9">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0">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1">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2">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3">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4">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8"/>
      <w:numFmt w:val="upperLetter"/>
      <w:lvlText w:val="%6"/>
      <w:lvlJc w:val="left"/>
      <w:pPr>
        <w:ind w:hanging="700"/>
        <w:contextualSpacing w:val="true"/>
        <w:jc w:val="left"/>
      </w:pPr>
    </w:lvl>
  </w:abstractNum>
  <w:abstractNum w:abstractNumId="35">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8"/>
      <w:numFmt w:val="upperLetter"/>
      <w:lvlText w:val="%6"/>
      <w:lvlJc w:val="left"/>
      <w:pPr>
        <w:ind w:hanging="700"/>
        <w:contextualSpacing w:val="true"/>
        <w:jc w:val="left"/>
      </w:pPr>
    </w:lvl>
  </w:abstractNum>
  <w:abstractNum w:abstractNumId="36">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37">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38">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39">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40">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1">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4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4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0">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5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5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5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5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6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6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6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7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7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7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7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7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7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7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7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8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8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8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8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8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8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